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336" w:rsidRDefault="00A73B29" w:rsidP="00676801">
      <w:pPr>
        <w:spacing w:line="480" w:lineRule="auto"/>
        <w:rPr>
          <w:rFonts w:ascii="Arial" w:hAnsi="Arial" w:cs="Arial"/>
          <w:b/>
        </w:rPr>
      </w:pPr>
      <w:r>
        <w:rPr>
          <w:rFonts w:ascii="Arial" w:hAnsi="Arial" w:cs="Arial"/>
          <w:b/>
        </w:rPr>
        <w:t>Supplementary Text ST3</w:t>
      </w:r>
      <w:r w:rsidR="00951336">
        <w:rPr>
          <w:rFonts w:ascii="Arial" w:hAnsi="Arial" w:cs="Arial"/>
          <w:b/>
        </w:rPr>
        <w:t xml:space="preserve">. </w:t>
      </w:r>
    </w:p>
    <w:p w:rsidR="00A73B29" w:rsidRPr="009B0185" w:rsidRDefault="00A73B29" w:rsidP="00A73B29">
      <w:pPr>
        <w:spacing w:line="240" w:lineRule="auto"/>
        <w:rPr>
          <w:rFonts w:ascii="Arial" w:eastAsia="Times New Roman" w:hAnsi="Arial" w:cs="Arial"/>
          <w:b/>
        </w:rPr>
      </w:pPr>
      <w:r w:rsidRPr="009B0185">
        <w:rPr>
          <w:rFonts w:ascii="Arial" w:eastAsia="Times New Roman" w:hAnsi="Arial" w:cs="Arial"/>
          <w:b/>
        </w:rPr>
        <w:t xml:space="preserve">Genes representing common regulatory targets of human embryo </w:t>
      </w:r>
      <w:r>
        <w:rPr>
          <w:rFonts w:ascii="Arial" w:eastAsia="Times New Roman" w:hAnsi="Arial" w:cs="Arial"/>
          <w:b/>
        </w:rPr>
        <w:t>regulatory LTR</w:t>
      </w:r>
      <w:r w:rsidRPr="009B0185">
        <w:rPr>
          <w:rFonts w:ascii="Arial" w:eastAsia="Times New Roman" w:hAnsi="Arial" w:cs="Arial"/>
          <w:b/>
        </w:rPr>
        <w:t xml:space="preserve"> elements are segregated into sub-sets of genetic loci coalesced within genomic regulatory pathways </w:t>
      </w:r>
      <w:r>
        <w:rPr>
          <w:rFonts w:ascii="Arial" w:eastAsia="Times New Roman" w:hAnsi="Arial" w:cs="Arial"/>
          <w:b/>
        </w:rPr>
        <w:t>of common biological functions.</w:t>
      </w:r>
    </w:p>
    <w:p w:rsidR="00951336" w:rsidRDefault="00951336" w:rsidP="00676801">
      <w:pPr>
        <w:spacing w:line="480" w:lineRule="auto"/>
        <w:rPr>
          <w:rFonts w:ascii="Arial" w:hAnsi="Arial" w:cs="Arial"/>
          <w:b/>
        </w:rPr>
      </w:pPr>
    </w:p>
    <w:p w:rsidR="00473DA4" w:rsidRDefault="00473DA4" w:rsidP="00676801">
      <w:pPr>
        <w:spacing w:line="480" w:lineRule="auto"/>
        <w:rPr>
          <w:rFonts w:ascii="Arial" w:hAnsi="Arial" w:cs="Arial"/>
          <w:b/>
        </w:rPr>
      </w:pPr>
      <w:r>
        <w:rPr>
          <w:rFonts w:ascii="Arial" w:hAnsi="Arial" w:cs="Arial"/>
          <w:b/>
        </w:rPr>
        <w:t xml:space="preserve">Manuscript title: </w:t>
      </w:r>
    </w:p>
    <w:p w:rsidR="00676801" w:rsidRDefault="00676801" w:rsidP="00676801">
      <w:pPr>
        <w:spacing w:line="480" w:lineRule="auto"/>
        <w:rPr>
          <w:rFonts w:ascii="Arial" w:hAnsi="Arial" w:cs="Arial"/>
          <w:b/>
        </w:rPr>
      </w:pPr>
      <w:r>
        <w:rPr>
          <w:rFonts w:ascii="Arial" w:hAnsi="Arial" w:cs="Arial"/>
          <w:b/>
        </w:rPr>
        <w:t xml:space="preserve">Gene ontology-guided </w:t>
      </w:r>
      <w:r w:rsidR="002A0531">
        <w:rPr>
          <w:rFonts w:ascii="Arial" w:hAnsi="Arial" w:cs="Arial"/>
          <w:b/>
        </w:rPr>
        <w:t xml:space="preserve">proximity placement </w:t>
      </w:r>
      <w:r>
        <w:rPr>
          <w:rFonts w:ascii="Arial" w:hAnsi="Arial" w:cs="Arial"/>
          <w:b/>
        </w:rPr>
        <w:t>analyses of pan-primate regulatory LTR elements</w:t>
      </w:r>
      <w:r w:rsidR="002A0531">
        <w:rPr>
          <w:rFonts w:ascii="Arial" w:hAnsi="Arial" w:cs="Arial"/>
          <w:b/>
        </w:rPr>
        <w:t xml:space="preserve"> contributing to embryogenesis</w:t>
      </w:r>
      <w:r>
        <w:rPr>
          <w:rFonts w:ascii="Arial" w:hAnsi="Arial" w:cs="Arial"/>
          <w:b/>
        </w:rPr>
        <w:t>.</w:t>
      </w:r>
    </w:p>
    <w:p w:rsidR="00092EDF" w:rsidRPr="00715340" w:rsidRDefault="00092EDF" w:rsidP="00092EDF">
      <w:pPr>
        <w:autoSpaceDE w:val="0"/>
        <w:autoSpaceDN w:val="0"/>
        <w:adjustRightInd w:val="0"/>
        <w:spacing w:after="0" w:line="480" w:lineRule="auto"/>
        <w:rPr>
          <w:rFonts w:ascii="Arial" w:hAnsi="Arial" w:cs="Arial"/>
        </w:rPr>
      </w:pPr>
      <w:r w:rsidRPr="00715340">
        <w:rPr>
          <w:rFonts w:ascii="Arial" w:hAnsi="Arial" w:cs="Arial"/>
        </w:rPr>
        <w:t>Gennadi V. Glinsky</w:t>
      </w:r>
      <w:r>
        <w:rPr>
          <w:rFonts w:ascii="Arial" w:hAnsi="Arial" w:cs="Arial"/>
          <w:vertAlign w:val="superscript"/>
        </w:rPr>
        <w:t>1</w:t>
      </w:r>
    </w:p>
    <w:p w:rsidR="00092EDF" w:rsidRPr="00715340" w:rsidRDefault="00092EDF" w:rsidP="00092EDF">
      <w:pPr>
        <w:autoSpaceDE w:val="0"/>
        <w:autoSpaceDN w:val="0"/>
        <w:adjustRightInd w:val="0"/>
        <w:spacing w:after="0" w:line="480" w:lineRule="auto"/>
        <w:rPr>
          <w:rFonts w:ascii="Arial" w:hAnsi="Arial" w:cs="Arial"/>
        </w:rPr>
      </w:pPr>
      <w:r w:rsidRPr="00BF372D">
        <w:rPr>
          <w:rFonts w:ascii="Arial" w:hAnsi="Arial" w:cs="Arial"/>
          <w:vertAlign w:val="superscript"/>
        </w:rPr>
        <w:t>1</w:t>
      </w:r>
      <w:r w:rsidRPr="00715340">
        <w:rPr>
          <w:rFonts w:ascii="Arial" w:hAnsi="Arial" w:cs="Arial"/>
        </w:rPr>
        <w:t xml:space="preserve"> Institute of Engineering in Medicine</w:t>
      </w:r>
    </w:p>
    <w:p w:rsidR="00092EDF" w:rsidRPr="00715340" w:rsidRDefault="00092EDF" w:rsidP="00092EDF">
      <w:pPr>
        <w:autoSpaceDE w:val="0"/>
        <w:autoSpaceDN w:val="0"/>
        <w:adjustRightInd w:val="0"/>
        <w:spacing w:after="0" w:line="480" w:lineRule="auto"/>
        <w:rPr>
          <w:rFonts w:ascii="Arial" w:hAnsi="Arial" w:cs="Arial"/>
        </w:rPr>
      </w:pPr>
      <w:r w:rsidRPr="00715340">
        <w:rPr>
          <w:rFonts w:ascii="Arial" w:hAnsi="Arial" w:cs="Arial"/>
        </w:rPr>
        <w:t>University of California, San Diego</w:t>
      </w:r>
    </w:p>
    <w:p w:rsidR="00092EDF" w:rsidRPr="00715340" w:rsidRDefault="00092EDF" w:rsidP="00092EDF">
      <w:pPr>
        <w:autoSpaceDE w:val="0"/>
        <w:autoSpaceDN w:val="0"/>
        <w:adjustRightInd w:val="0"/>
        <w:spacing w:after="0" w:line="480" w:lineRule="auto"/>
        <w:rPr>
          <w:rFonts w:ascii="Arial" w:hAnsi="Arial" w:cs="Arial"/>
        </w:rPr>
      </w:pPr>
      <w:r w:rsidRPr="00715340">
        <w:rPr>
          <w:rFonts w:ascii="Arial" w:hAnsi="Arial" w:cs="Arial"/>
        </w:rPr>
        <w:t>9500 Gilman Dr. MC 0435</w:t>
      </w:r>
    </w:p>
    <w:p w:rsidR="00092EDF" w:rsidRPr="00715340" w:rsidRDefault="00092EDF" w:rsidP="00092EDF">
      <w:pPr>
        <w:autoSpaceDE w:val="0"/>
        <w:autoSpaceDN w:val="0"/>
        <w:adjustRightInd w:val="0"/>
        <w:spacing w:after="0" w:line="480" w:lineRule="auto"/>
        <w:rPr>
          <w:rFonts w:ascii="Arial" w:hAnsi="Arial" w:cs="Arial"/>
        </w:rPr>
      </w:pPr>
      <w:r w:rsidRPr="00715340">
        <w:rPr>
          <w:rFonts w:ascii="Arial" w:hAnsi="Arial" w:cs="Arial"/>
        </w:rPr>
        <w:t>La Jolla, CA 92093-0435, USA</w:t>
      </w:r>
    </w:p>
    <w:p w:rsidR="00CD20E7" w:rsidRPr="00715340" w:rsidRDefault="00092EDF" w:rsidP="00092EDF">
      <w:pPr>
        <w:autoSpaceDE w:val="0"/>
        <w:autoSpaceDN w:val="0"/>
        <w:adjustRightInd w:val="0"/>
        <w:spacing w:after="0" w:line="480" w:lineRule="auto"/>
        <w:rPr>
          <w:rFonts w:ascii="Arial" w:hAnsi="Arial" w:cs="Arial"/>
        </w:rPr>
      </w:pPr>
      <w:r w:rsidRPr="00715340">
        <w:rPr>
          <w:rFonts w:ascii="Arial" w:hAnsi="Arial" w:cs="Arial"/>
        </w:rPr>
        <w:t xml:space="preserve">Correspondence: </w:t>
      </w:r>
      <w:hyperlink r:id="rId7" w:history="1">
        <w:r w:rsidR="00CD20E7" w:rsidRPr="00FE5A95">
          <w:rPr>
            <w:rStyle w:val="Hyperlink"/>
            <w:rFonts w:ascii="Arial" w:hAnsi="Arial" w:cs="Arial"/>
          </w:rPr>
          <w:t>genlighttech@gmail.com</w:t>
        </w:r>
      </w:hyperlink>
      <w:r w:rsidR="00CD20E7">
        <w:rPr>
          <w:rFonts w:ascii="Arial" w:hAnsi="Arial" w:cs="Arial"/>
        </w:rPr>
        <w:t xml:space="preserve"> </w:t>
      </w:r>
    </w:p>
    <w:p w:rsidR="0053629C" w:rsidRDefault="0053629C" w:rsidP="0044518F">
      <w:pPr>
        <w:spacing w:line="480" w:lineRule="auto"/>
        <w:rPr>
          <w:rFonts w:ascii="Arial" w:hAnsi="Arial" w:cs="Arial"/>
          <w:b/>
        </w:rPr>
      </w:pPr>
    </w:p>
    <w:p w:rsidR="0053629C" w:rsidRDefault="0053629C" w:rsidP="0044518F">
      <w:pPr>
        <w:spacing w:line="480" w:lineRule="auto"/>
        <w:rPr>
          <w:rFonts w:ascii="Arial" w:hAnsi="Arial" w:cs="Arial"/>
          <w:b/>
        </w:rPr>
      </w:pPr>
    </w:p>
    <w:p w:rsidR="0053629C" w:rsidRDefault="0053629C" w:rsidP="0044518F">
      <w:pPr>
        <w:spacing w:line="480" w:lineRule="auto"/>
        <w:rPr>
          <w:rFonts w:ascii="Arial" w:hAnsi="Arial" w:cs="Arial"/>
          <w:b/>
        </w:rPr>
      </w:pPr>
    </w:p>
    <w:p w:rsidR="00C26929" w:rsidRDefault="00C26929" w:rsidP="0044518F">
      <w:pPr>
        <w:spacing w:line="480" w:lineRule="auto"/>
        <w:rPr>
          <w:rFonts w:ascii="Arial" w:hAnsi="Arial" w:cs="Arial"/>
          <w:b/>
        </w:rPr>
      </w:pPr>
    </w:p>
    <w:p w:rsidR="00C26929" w:rsidRDefault="00C26929" w:rsidP="0044518F">
      <w:pPr>
        <w:spacing w:line="480" w:lineRule="auto"/>
        <w:rPr>
          <w:rFonts w:ascii="Arial" w:hAnsi="Arial" w:cs="Arial"/>
          <w:b/>
        </w:rPr>
      </w:pPr>
    </w:p>
    <w:p w:rsidR="00C26929" w:rsidRDefault="00C26929" w:rsidP="0044518F">
      <w:pPr>
        <w:spacing w:line="480" w:lineRule="auto"/>
        <w:rPr>
          <w:rFonts w:ascii="Arial" w:hAnsi="Arial" w:cs="Arial"/>
          <w:b/>
        </w:rPr>
      </w:pPr>
    </w:p>
    <w:p w:rsidR="00A73B29" w:rsidRDefault="00A73B29" w:rsidP="0044518F">
      <w:pPr>
        <w:spacing w:line="480" w:lineRule="auto"/>
        <w:rPr>
          <w:rFonts w:ascii="Arial" w:hAnsi="Arial" w:cs="Arial"/>
          <w:b/>
        </w:rPr>
      </w:pPr>
    </w:p>
    <w:p w:rsidR="00565710" w:rsidRPr="00473DA4" w:rsidRDefault="00282085" w:rsidP="00473DA4">
      <w:pPr>
        <w:spacing w:line="360" w:lineRule="auto"/>
        <w:contextualSpacing/>
        <w:rPr>
          <w:rFonts w:ascii="Arial" w:hAnsi="Arial" w:cs="Arial"/>
        </w:rPr>
      </w:pPr>
      <w:r w:rsidRPr="00047FE2">
        <w:rPr>
          <w:rFonts w:ascii="Arial" w:hAnsi="Arial" w:cs="Arial"/>
          <w:b/>
        </w:rPr>
        <w:t>Key words:</w:t>
      </w:r>
      <w:r>
        <w:rPr>
          <w:rFonts w:ascii="Arial" w:hAnsi="Arial" w:cs="Arial"/>
        </w:rPr>
        <w:t xml:space="preserve"> </w:t>
      </w:r>
      <w:r w:rsidRPr="00B17CAA">
        <w:rPr>
          <w:rFonts w:ascii="Arial" w:hAnsi="Arial" w:cs="Arial"/>
        </w:rPr>
        <w:t>human endogenous retrovirus type H (HERVH); human endogenous retroviru</w:t>
      </w:r>
      <w:r>
        <w:rPr>
          <w:rFonts w:ascii="Arial" w:hAnsi="Arial" w:cs="Arial"/>
        </w:rPr>
        <w:t>s type L (HERVL</w:t>
      </w:r>
      <w:r w:rsidR="00DE409E">
        <w:rPr>
          <w:rFonts w:ascii="Arial" w:hAnsi="Arial" w:cs="Arial"/>
        </w:rPr>
        <w:t>); LTR7</w:t>
      </w:r>
      <w:r>
        <w:rPr>
          <w:rFonts w:ascii="Arial" w:hAnsi="Arial" w:cs="Arial"/>
        </w:rPr>
        <w:t>; MLT2A1; MLT2A2</w:t>
      </w:r>
      <w:r w:rsidRPr="00B17CAA">
        <w:rPr>
          <w:rFonts w:ascii="Arial" w:hAnsi="Arial" w:cs="Arial"/>
        </w:rPr>
        <w:t xml:space="preserve">; retrotransposition; primate evolution; </w:t>
      </w:r>
      <w:r>
        <w:rPr>
          <w:rFonts w:ascii="Arial" w:hAnsi="Arial" w:cs="Arial"/>
        </w:rPr>
        <w:t xml:space="preserve">mammalian </w:t>
      </w:r>
      <w:r w:rsidRPr="00B17CAA">
        <w:rPr>
          <w:rFonts w:ascii="Arial" w:hAnsi="Arial" w:cs="Arial"/>
        </w:rPr>
        <w:t xml:space="preserve">offspring survival genes; human embryogenesis; </w:t>
      </w:r>
      <w:r>
        <w:rPr>
          <w:rFonts w:ascii="Arial" w:hAnsi="Arial" w:cs="Arial"/>
        </w:rPr>
        <w:t xml:space="preserve">reduced fertility; infertility; </w:t>
      </w:r>
      <w:r w:rsidRPr="00B17CAA">
        <w:rPr>
          <w:rFonts w:ascii="Arial" w:hAnsi="Arial" w:cs="Arial"/>
        </w:rPr>
        <w:t>synaptic transmission; protein-protein interactions at synapses;</w:t>
      </w:r>
      <w:r>
        <w:rPr>
          <w:rFonts w:ascii="Arial" w:hAnsi="Arial" w:cs="Arial"/>
        </w:rPr>
        <w:t xml:space="preserve"> human endogenous complexomes; viral-host protein-protein interactions; neoplasm metastasis; neurodevelopmental disorders; neurodegenerative diseases; human-specific phenotypic traits; human-specific regulatory sequences.</w:t>
      </w:r>
    </w:p>
    <w:p w:rsidR="00A73B29" w:rsidRPr="009B0185" w:rsidRDefault="00A73B29" w:rsidP="00A73B29">
      <w:pPr>
        <w:spacing w:line="240" w:lineRule="auto"/>
        <w:rPr>
          <w:rFonts w:ascii="Arial" w:eastAsia="Times New Roman" w:hAnsi="Arial" w:cs="Arial"/>
          <w:b/>
        </w:rPr>
      </w:pPr>
      <w:r w:rsidRPr="009B0185">
        <w:rPr>
          <w:rFonts w:ascii="Arial" w:eastAsia="Times New Roman" w:hAnsi="Arial" w:cs="Arial"/>
          <w:b/>
        </w:rPr>
        <w:lastRenderedPageBreak/>
        <w:t xml:space="preserve">Genes representing common regulatory targets of human embryo </w:t>
      </w:r>
      <w:r>
        <w:rPr>
          <w:rFonts w:ascii="Arial" w:eastAsia="Times New Roman" w:hAnsi="Arial" w:cs="Arial"/>
          <w:b/>
        </w:rPr>
        <w:t>regulatory LTR</w:t>
      </w:r>
      <w:r w:rsidRPr="009B0185">
        <w:rPr>
          <w:rFonts w:ascii="Arial" w:eastAsia="Times New Roman" w:hAnsi="Arial" w:cs="Arial"/>
          <w:b/>
        </w:rPr>
        <w:t xml:space="preserve"> elements are segregated into sub-sets of genetic loci coalesced within genomic regulatory pathways of common biological functions. </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t xml:space="preserve">Notable common features of all identified herein GRNs governed by human embryo </w:t>
      </w:r>
      <w:r>
        <w:rPr>
          <w:rFonts w:ascii="Arial" w:eastAsia="Times New Roman" w:hAnsi="Arial" w:cs="Arial"/>
        </w:rPr>
        <w:t>regulatory LTR</w:t>
      </w:r>
      <w:r w:rsidRPr="009B0185">
        <w:rPr>
          <w:rFonts w:ascii="Arial" w:eastAsia="Times New Roman" w:hAnsi="Arial" w:cs="Arial"/>
        </w:rPr>
        <w:t xml:space="preserve"> elements are the quantitatively balanced numbers of residing within GRN’s boundaries </w:t>
      </w:r>
      <w:r>
        <w:rPr>
          <w:rFonts w:ascii="Arial" w:eastAsia="Times New Roman" w:hAnsi="Arial" w:cs="Arial"/>
        </w:rPr>
        <w:t>regulatory LTR</w:t>
      </w:r>
      <w:r w:rsidRPr="009B0185">
        <w:rPr>
          <w:rFonts w:ascii="Arial" w:eastAsia="Times New Roman" w:hAnsi="Arial" w:cs="Arial"/>
        </w:rPr>
        <w:t xml:space="preserve"> elements derived from LTR7, MLT2A1, and MLT2A2 sequences (Table 4). These observations indicate that LTR elements of distinct families may affect genes (including sub-sets of common down-stream target genes) comprising constituents of corresponding GRNs, which then likely to exert biologically discernable effects on corresponding phenotypic traits. If the model is correct, this consonant regulatory framework should be observable within previously defined signal transduction pathways known to affect specific phenotypes. </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t xml:space="preserve">The validity of this hypothesis was tested by performing GSEA of 709 genes comprising a set of common down-stream regulatory targets of LTR7, MLT2A1, and MLT2A2 elements (Table 1). In these analytical experiments, GSEA-defined significantly enriched sets of genes operating within specific pathways were mapped to sub-sets of their putative up-stream regulatory elements among human embryo </w:t>
      </w:r>
      <w:r>
        <w:rPr>
          <w:rFonts w:ascii="Arial" w:eastAsia="Times New Roman" w:hAnsi="Arial" w:cs="Arial"/>
        </w:rPr>
        <w:t>regulatory LTR</w:t>
      </w:r>
      <w:r w:rsidRPr="009B0185">
        <w:rPr>
          <w:rFonts w:ascii="Arial" w:eastAsia="Times New Roman" w:hAnsi="Arial" w:cs="Arial"/>
        </w:rPr>
        <w:t xml:space="preserve">s (Supplementary Table S2; Supplementary Data Set S2). Then each of these sub-sets of </w:t>
      </w:r>
      <w:r>
        <w:rPr>
          <w:rFonts w:ascii="Arial" w:eastAsia="Times New Roman" w:hAnsi="Arial" w:cs="Arial"/>
        </w:rPr>
        <w:t>regulatory LTR</w:t>
      </w:r>
      <w:r w:rsidRPr="009B0185">
        <w:rPr>
          <w:rFonts w:ascii="Arial" w:eastAsia="Times New Roman" w:hAnsi="Arial" w:cs="Arial"/>
        </w:rPr>
        <w:t xml:space="preserve">s associated with specific pathways were subjected to GO analyses using the GREAT algorithm. Results of these analyses demonstrate that genetic loci representing common regulatory targets of human embryo </w:t>
      </w:r>
      <w:r>
        <w:rPr>
          <w:rFonts w:ascii="Arial" w:eastAsia="Times New Roman" w:hAnsi="Arial" w:cs="Arial"/>
        </w:rPr>
        <w:t>regulatory LTR</w:t>
      </w:r>
      <w:r w:rsidRPr="009B0185">
        <w:rPr>
          <w:rFonts w:ascii="Arial" w:eastAsia="Times New Roman" w:hAnsi="Arial" w:cs="Arial"/>
        </w:rPr>
        <w:t xml:space="preserve">s appear segregated into relatively small sets of LTR/gene panels coalesced within genomic regulatory pathways of common biological functions (Tables 8-10; Supplementary Figures S2-S10; Supplementary Table S2; Supplementary Data Set S2). These GSEA/GREAT analyses-defined sets of genes and associated </w:t>
      </w:r>
      <w:r>
        <w:rPr>
          <w:rFonts w:ascii="Arial" w:eastAsia="Times New Roman" w:hAnsi="Arial" w:cs="Arial"/>
        </w:rPr>
        <w:t>regulatory LTR</w:t>
      </w:r>
      <w:r w:rsidRPr="009B0185">
        <w:rPr>
          <w:rFonts w:ascii="Arial" w:eastAsia="Times New Roman" w:hAnsi="Arial" w:cs="Arial"/>
        </w:rPr>
        <w:t xml:space="preserve"> elements were designated Genomic Regulatory Pathways (GRPs) because they were identified by GSEA as significantly enriched genetic loci (adjusted p value &lt; 0.05) assigne</w:t>
      </w:r>
      <w:r>
        <w:rPr>
          <w:rFonts w:ascii="Arial" w:eastAsia="Times New Roman" w:hAnsi="Arial" w:cs="Arial"/>
        </w:rPr>
        <w:t>d</w:t>
      </w:r>
      <w:r w:rsidRPr="009B0185">
        <w:rPr>
          <w:rFonts w:ascii="Arial" w:eastAsia="Times New Roman" w:hAnsi="Arial" w:cs="Arial"/>
        </w:rPr>
        <w:t xml:space="preserve"> to corresponding previously defined regulatory pathways. </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t xml:space="preserve">Similar to GRNs, all identified by GSEA/GREAT analyses GRPs contain numerous </w:t>
      </w:r>
      <w:r>
        <w:rPr>
          <w:rFonts w:ascii="Arial" w:eastAsia="Times New Roman" w:hAnsi="Arial" w:cs="Arial"/>
        </w:rPr>
        <w:t>regulatory LTR</w:t>
      </w:r>
      <w:r w:rsidRPr="009B0185">
        <w:rPr>
          <w:rFonts w:ascii="Arial" w:eastAsia="Times New Roman" w:hAnsi="Arial" w:cs="Arial"/>
        </w:rPr>
        <w:t xml:space="preserve">s of LTR7, MLT2A1, and MLT2A2 families and harbor hundreds of GO annotated GRMs. However, GRPs appear to represent quantitatively smaller genomic regulatory units compared to 26 GRNs based on the assessment of numbers of significantly enriched constituent GRMs (Tables 3-5; Table 8; Supplementary Table S2; Supplementary Data Sets S1; S2) as well as relatively scarce representations of constituent GRMs within DAG analyses-defined GO-specific hierarchical networks (Figures 2-3; Supplementary Figures S3-S10; Supplementary Data Sets S1; S2). Various regulatory aspects of development and functions of peripheral and central nervous systems at cell type-specific levels and distinct morphological regions appear to represent a dominant common theme shared by GRPs (Supplementary Figures S3-S10; Supplementary Data Set S2). These observations suggest that GSEA-defined GRPs, similar to GO annotations-defined GRMs and GRNs, may constitute a constellation of genomic regulatory units each of which is aligned to specialized biological pathways united by a functional synergy required to preserve the developmental and operational integrity of nervous system. </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t xml:space="preserve">It has been noted that a compendium of GSEA/GREAT analyses-defined GRPs comprising 966 human embryo </w:t>
      </w:r>
      <w:r>
        <w:rPr>
          <w:rFonts w:ascii="Arial" w:eastAsia="Times New Roman" w:hAnsi="Arial" w:cs="Arial"/>
        </w:rPr>
        <w:t>regulatory LTR</w:t>
      </w:r>
      <w:r w:rsidRPr="009B0185">
        <w:rPr>
          <w:rFonts w:ascii="Arial" w:eastAsia="Times New Roman" w:hAnsi="Arial" w:cs="Arial"/>
        </w:rPr>
        <w:t xml:space="preserve"> elements and 255 down-stream target genes (Supplementary Figure S10; Table 8; Supplementary Data Set S2) manifests genomic features quantitatively and qualitatively resembling GRNs, including overlapping subsets of </w:t>
      </w:r>
      <w:r>
        <w:rPr>
          <w:rFonts w:ascii="Arial" w:eastAsia="Times New Roman" w:hAnsi="Arial" w:cs="Arial"/>
        </w:rPr>
        <w:t>regulatory LTR</w:t>
      </w:r>
      <w:r w:rsidRPr="009B0185">
        <w:rPr>
          <w:rFonts w:ascii="Arial" w:eastAsia="Times New Roman" w:hAnsi="Arial" w:cs="Arial"/>
        </w:rPr>
        <w:t xml:space="preserve">s and down-stream target genes assigned by GO annotations to 26 GRNs and their constituent GRMs. Intriguing examples of these common GRMs of potential evolutionary significance include sets of </w:t>
      </w:r>
      <w:r>
        <w:rPr>
          <w:rFonts w:ascii="Arial" w:eastAsia="Times New Roman" w:hAnsi="Arial" w:cs="Arial"/>
        </w:rPr>
        <w:t>regulatory LTR</w:t>
      </w:r>
      <w:r w:rsidRPr="009B0185">
        <w:rPr>
          <w:rFonts w:ascii="Arial" w:eastAsia="Times New Roman" w:hAnsi="Arial" w:cs="Arial"/>
        </w:rPr>
        <w:t xml:space="preserve">s/down-stream target genes annotated to significantly enriched records of mammalian offspring survival (MOS) phenotypes. GO annotations employing the Mouse Phenotype Single KO database identified the following significantly-enriched records of relevance to MOS phenotypes: </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t>1.</w:t>
      </w:r>
      <w:r w:rsidRPr="009B0185">
        <w:rPr>
          <w:rFonts w:ascii="Arial" w:eastAsia="Times New Roman" w:hAnsi="Arial" w:cs="Arial"/>
        </w:rPr>
        <w:tab/>
        <w:t>MP:0002082; postnatal lethality; 247 LTRs; 45 genes; Binominal FDR Q-value = 1.59E-17;</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t>2.</w:t>
      </w:r>
      <w:r w:rsidRPr="009B0185">
        <w:rPr>
          <w:rFonts w:ascii="Arial" w:eastAsia="Times New Roman" w:hAnsi="Arial" w:cs="Arial"/>
        </w:rPr>
        <w:tab/>
        <w:t>MP:0002081; perinatal lethality; 251 LTRs; 41 genes; Binominal FDR Q-value = 7.30E-15;</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t>3.</w:t>
      </w:r>
      <w:r w:rsidRPr="009B0185">
        <w:rPr>
          <w:rFonts w:ascii="Arial" w:eastAsia="Times New Roman" w:hAnsi="Arial" w:cs="Arial"/>
        </w:rPr>
        <w:tab/>
        <w:t>MP:0011089; perinatal lethality, complete penetrance; 91 LTRs; 14 genes; Binominal FDR Q-value = 6.84E-12;</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t>4.</w:t>
      </w:r>
      <w:r w:rsidRPr="009B0185">
        <w:rPr>
          <w:rFonts w:ascii="Arial" w:eastAsia="Times New Roman" w:hAnsi="Arial" w:cs="Arial"/>
        </w:rPr>
        <w:tab/>
        <w:t>MP:0011090; perinatal lethality, incomplete penetrance; 88 LTRs; 13 genes; Binominal FDR Q-value = 5.84E-11;</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lastRenderedPageBreak/>
        <w:t>5.</w:t>
      </w:r>
      <w:r w:rsidRPr="009B0185">
        <w:rPr>
          <w:rFonts w:ascii="Arial" w:eastAsia="Times New Roman" w:hAnsi="Arial" w:cs="Arial"/>
        </w:rPr>
        <w:tab/>
        <w:t xml:space="preserve">MP:0011086; postnatal lethality, incomplete penetrance; 149 LTRs; 30 genes; Binominal FDR Q-value = 7.92E-10; </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t>6.</w:t>
      </w:r>
      <w:r w:rsidRPr="009B0185">
        <w:rPr>
          <w:rFonts w:ascii="Arial" w:eastAsia="Times New Roman" w:hAnsi="Arial" w:cs="Arial"/>
        </w:rPr>
        <w:tab/>
        <w:t xml:space="preserve">MP:0011083; lethality at weaning, complete penetrance; 33 LTRs; 5 genes; Binominal FDR Q-value = 1.43E-08; </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t>7.</w:t>
      </w:r>
      <w:r w:rsidRPr="009B0185">
        <w:rPr>
          <w:rFonts w:ascii="Arial" w:eastAsia="Times New Roman" w:hAnsi="Arial" w:cs="Arial"/>
        </w:rPr>
        <w:tab/>
        <w:t xml:space="preserve">MP:0011085; postnatal lethality, complete penetrance; 106 LTRs; 20 genes; Binominal FDR Q-value = 2.25E-07; </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t>8.</w:t>
      </w:r>
      <w:r w:rsidRPr="009B0185">
        <w:rPr>
          <w:rFonts w:ascii="Arial" w:eastAsia="Times New Roman" w:hAnsi="Arial" w:cs="Arial"/>
        </w:rPr>
        <w:tab/>
        <w:t xml:space="preserve">MP:0011110; preweaning lethality, incomplete penetrance; 94 LTRs; 14 genes; Binominal FDR Q-value = 1.16E-06; </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t>9.</w:t>
      </w:r>
      <w:r w:rsidRPr="009B0185">
        <w:rPr>
          <w:rFonts w:ascii="Arial" w:eastAsia="Times New Roman" w:hAnsi="Arial" w:cs="Arial"/>
        </w:rPr>
        <w:tab/>
        <w:t xml:space="preserve">MP:0001926; female infertility; 65 LTRs; 11 genes; Binominal FDR Q-value = 1.36E-06; </w:t>
      </w:r>
    </w:p>
    <w:p w:rsidR="00A73B29" w:rsidRPr="009B0185" w:rsidRDefault="00A73B29" w:rsidP="00A73B29">
      <w:pPr>
        <w:spacing w:line="240" w:lineRule="auto"/>
        <w:rPr>
          <w:rFonts w:ascii="Arial" w:eastAsia="Times New Roman" w:hAnsi="Arial" w:cs="Arial"/>
        </w:rPr>
      </w:pPr>
      <w:r w:rsidRPr="009B0185">
        <w:rPr>
          <w:rFonts w:ascii="Arial" w:eastAsia="Times New Roman" w:hAnsi="Arial" w:cs="Arial"/>
        </w:rPr>
        <w:t xml:space="preserve">Collectively, these observations indicate that two critically important classes of genetic loci appear co-segregated within identified herein human embryo </w:t>
      </w:r>
      <w:r>
        <w:rPr>
          <w:rFonts w:ascii="Arial" w:eastAsia="Times New Roman" w:hAnsi="Arial" w:cs="Arial"/>
        </w:rPr>
        <w:t>regulatory LTR</w:t>
      </w:r>
      <w:r w:rsidRPr="009B0185">
        <w:rPr>
          <w:rFonts w:ascii="Arial" w:eastAsia="Times New Roman" w:hAnsi="Arial" w:cs="Arial"/>
        </w:rPr>
        <w:t xml:space="preserve">-governed genomic regulatory units of various architecture: a). Genes essential for the integrity of nervous system development and functions; b). Genes essential for mammalian offspring survival. It seems likely that this striking co-segregation may reflect co-regulation of these two classes of genes by common sets of </w:t>
      </w:r>
      <w:r>
        <w:rPr>
          <w:rFonts w:ascii="Arial" w:eastAsia="Times New Roman" w:hAnsi="Arial" w:cs="Arial"/>
        </w:rPr>
        <w:t>regulatory LTR</w:t>
      </w:r>
      <w:r w:rsidRPr="009B0185">
        <w:rPr>
          <w:rFonts w:ascii="Arial" w:eastAsia="Times New Roman" w:hAnsi="Arial" w:cs="Arial"/>
        </w:rPr>
        <w:t xml:space="preserve"> elements. Since knockout of many genes within these </w:t>
      </w:r>
      <w:r>
        <w:rPr>
          <w:rFonts w:ascii="Arial" w:eastAsia="Times New Roman" w:hAnsi="Arial" w:cs="Arial"/>
        </w:rPr>
        <w:t>regulatory LTR</w:t>
      </w:r>
      <w:r w:rsidRPr="009B0185">
        <w:rPr>
          <w:rFonts w:ascii="Arial" w:eastAsia="Times New Roman" w:hAnsi="Arial" w:cs="Arial"/>
        </w:rPr>
        <w:t xml:space="preserve">-governed GRNs causes offspring lethality, it is logical to expect that their sustained activity would be essential for offspring survival. Sustained activity of MOS genes within </w:t>
      </w:r>
      <w:r>
        <w:rPr>
          <w:rFonts w:ascii="Arial" w:eastAsia="Times New Roman" w:hAnsi="Arial" w:cs="Arial"/>
        </w:rPr>
        <w:t>regulatory LTR</w:t>
      </w:r>
      <w:r w:rsidRPr="009B0185">
        <w:rPr>
          <w:rFonts w:ascii="Arial" w:eastAsia="Times New Roman" w:hAnsi="Arial" w:cs="Arial"/>
        </w:rPr>
        <w:t xml:space="preserve">-governed GRNs could be achieved either by relieving the repressor actions of </w:t>
      </w:r>
      <w:r>
        <w:rPr>
          <w:rFonts w:ascii="Arial" w:eastAsia="Times New Roman" w:hAnsi="Arial" w:cs="Arial"/>
        </w:rPr>
        <w:t>regulatory LTR</w:t>
      </w:r>
      <w:r w:rsidRPr="009B0185">
        <w:rPr>
          <w:rFonts w:ascii="Arial" w:eastAsia="Times New Roman" w:hAnsi="Arial" w:cs="Arial"/>
        </w:rPr>
        <w:t xml:space="preserve">s or maintaining the activator effects of </w:t>
      </w:r>
      <w:r>
        <w:rPr>
          <w:rFonts w:ascii="Arial" w:eastAsia="Times New Roman" w:hAnsi="Arial" w:cs="Arial"/>
        </w:rPr>
        <w:t>regulatory LTR</w:t>
      </w:r>
      <w:r w:rsidRPr="009B0185">
        <w:rPr>
          <w:rFonts w:ascii="Arial" w:eastAsia="Times New Roman" w:hAnsi="Arial" w:cs="Arial"/>
        </w:rPr>
        <w:t xml:space="preserve">s. Alignments of this genomic regulatory architecture of human embryo </w:t>
      </w:r>
      <w:r>
        <w:rPr>
          <w:rFonts w:ascii="Arial" w:eastAsia="Times New Roman" w:hAnsi="Arial" w:cs="Arial"/>
        </w:rPr>
        <w:t>regulatory LTR</w:t>
      </w:r>
      <w:r w:rsidRPr="009B0185">
        <w:rPr>
          <w:rFonts w:ascii="Arial" w:eastAsia="Times New Roman" w:hAnsi="Arial" w:cs="Arial"/>
        </w:rPr>
        <w:t xml:space="preserve">-governed GRNs with control of genes essential for development and functions of nervous system may have contributed to acceleration of central nervous system’s dramatic changes during primate evolution. </w:t>
      </w:r>
    </w:p>
    <w:p w:rsidR="00A73B29" w:rsidRDefault="00A73B29"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p>
    <w:p w:rsidR="005F6531" w:rsidRDefault="005F6531" w:rsidP="00A73B29">
      <w:pPr>
        <w:spacing w:line="240" w:lineRule="auto"/>
        <w:rPr>
          <w:rFonts w:ascii="Arial" w:eastAsia="Times New Roman" w:hAnsi="Arial" w:cs="Arial"/>
        </w:rPr>
      </w:pPr>
      <w:bookmarkStart w:id="0" w:name="_GoBack"/>
      <w:bookmarkEnd w:id="0"/>
    </w:p>
    <w:p w:rsidR="00D71467" w:rsidRPr="00DF487C" w:rsidRDefault="00D71467" w:rsidP="00D71467">
      <w:pPr>
        <w:rPr>
          <w:rFonts w:ascii="Arial" w:hAnsi="Arial" w:cs="Arial"/>
          <w:sz w:val="20"/>
          <w:szCs w:val="20"/>
        </w:rPr>
      </w:pPr>
      <w:r w:rsidRPr="00DF487C">
        <w:rPr>
          <w:rFonts w:ascii="Arial" w:hAnsi="Arial" w:cs="Arial"/>
          <w:b/>
          <w:sz w:val="20"/>
          <w:szCs w:val="20"/>
        </w:rPr>
        <w:lastRenderedPageBreak/>
        <w:t>Table 8.</w:t>
      </w:r>
      <w:r w:rsidRPr="00DF487C">
        <w:rPr>
          <w:rFonts w:ascii="Arial" w:hAnsi="Arial" w:cs="Arial"/>
          <w:sz w:val="20"/>
          <w:szCs w:val="20"/>
        </w:rPr>
        <w:t xml:space="preserve"> Quantitative profiles of a directed acyclic graph (DAG)* test-validated genomic regulatory modules (GRMs)** within GSEA-defined genomic regulatory panels (GRPs)*** of the genomic dominion of human embryo </w:t>
      </w:r>
      <w:r>
        <w:rPr>
          <w:rFonts w:ascii="Arial" w:hAnsi="Arial" w:cs="Arial"/>
          <w:sz w:val="20"/>
          <w:szCs w:val="20"/>
        </w:rPr>
        <w:t>regulatory LTR</w:t>
      </w:r>
      <w:r w:rsidRPr="00DF487C">
        <w:rPr>
          <w:rFonts w:ascii="Arial" w:hAnsi="Arial" w:cs="Arial"/>
          <w:sz w:val="20"/>
          <w:szCs w:val="20"/>
        </w:rPr>
        <w:t>s.</w:t>
      </w:r>
    </w:p>
    <w:tbl>
      <w:tblPr>
        <w:tblStyle w:val="PlainTable2"/>
        <w:tblW w:w="11160" w:type="dxa"/>
        <w:jc w:val="center"/>
        <w:tblLayout w:type="fixed"/>
        <w:tblLook w:val="04A0" w:firstRow="1" w:lastRow="0" w:firstColumn="1" w:lastColumn="0" w:noHBand="0" w:noVBand="1"/>
      </w:tblPr>
      <w:tblGrid>
        <w:gridCol w:w="1980"/>
        <w:gridCol w:w="585"/>
        <w:gridCol w:w="779"/>
        <w:gridCol w:w="928"/>
        <w:gridCol w:w="1044"/>
        <w:gridCol w:w="912"/>
        <w:gridCol w:w="978"/>
        <w:gridCol w:w="978"/>
        <w:gridCol w:w="636"/>
        <w:gridCol w:w="720"/>
        <w:gridCol w:w="1620"/>
      </w:tblGrid>
      <w:tr w:rsidR="005F6531" w:rsidRPr="00DF487C" w:rsidTr="005F6531">
        <w:trPr>
          <w:cnfStyle w:val="100000000000" w:firstRow="1" w:lastRow="0" w:firstColumn="0" w:lastColumn="0" w:oddVBand="0" w:evenVBand="0" w:oddHBand="0" w:evenHBand="0" w:firstRowFirstColumn="0" w:firstRowLastColumn="0" w:lastRowFirstColumn="0" w:lastRowLastColumn="0"/>
          <w:cantSplit/>
          <w:trHeight w:val="1466"/>
          <w:jc w:val="center"/>
        </w:trPr>
        <w:tc>
          <w:tcPr>
            <w:cnfStyle w:val="001000000000" w:firstRow="0" w:lastRow="0" w:firstColumn="1" w:lastColumn="0" w:oddVBand="0" w:evenVBand="0" w:oddHBand="0" w:evenHBand="0" w:firstRowFirstColumn="0" w:firstRowLastColumn="0" w:lastRowFirstColumn="0" w:lastRowLastColumn="0"/>
            <w:tcW w:w="1980" w:type="dxa"/>
            <w:textDirection w:val="btLr"/>
          </w:tcPr>
          <w:p w:rsidR="00D71467" w:rsidRPr="00DF487C" w:rsidRDefault="00D71467" w:rsidP="005F6531">
            <w:pPr>
              <w:ind w:left="113" w:right="113"/>
              <w:jc w:val="center"/>
              <w:rPr>
                <w:rFonts w:ascii="Arial" w:hAnsi="Arial" w:cs="Arial"/>
                <w:color w:val="000000"/>
                <w:sz w:val="20"/>
                <w:szCs w:val="20"/>
              </w:rPr>
            </w:pPr>
            <w:r w:rsidRPr="00DF487C">
              <w:rPr>
                <w:rFonts w:ascii="Arial" w:hAnsi="Arial" w:cs="Arial"/>
                <w:bCs w:val="0"/>
                <w:color w:val="000000"/>
                <w:sz w:val="20"/>
                <w:szCs w:val="20"/>
              </w:rPr>
              <w:t>Genomic regulatory panels (GRPs)</w:t>
            </w:r>
          </w:p>
        </w:tc>
        <w:tc>
          <w:tcPr>
            <w:tcW w:w="585" w:type="dxa"/>
            <w:textDirection w:val="btLr"/>
          </w:tcPr>
          <w:p w:rsidR="00D71467" w:rsidRPr="00DF487C" w:rsidRDefault="00D71467" w:rsidP="005F6531">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DF487C">
              <w:rPr>
                <w:rFonts w:ascii="Arial" w:hAnsi="Arial" w:cs="Arial"/>
                <w:bCs w:val="0"/>
                <w:color w:val="000000"/>
                <w:sz w:val="20"/>
                <w:szCs w:val="20"/>
              </w:rPr>
              <w:t>Number of LTRs</w:t>
            </w:r>
          </w:p>
        </w:tc>
        <w:tc>
          <w:tcPr>
            <w:tcW w:w="779" w:type="dxa"/>
            <w:textDirection w:val="btLr"/>
          </w:tcPr>
          <w:p w:rsidR="00D71467" w:rsidRPr="00DF487C" w:rsidRDefault="00D71467" w:rsidP="005F6531">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DF487C">
              <w:rPr>
                <w:rFonts w:ascii="Arial" w:hAnsi="Arial" w:cs="Arial"/>
                <w:bCs w:val="0"/>
                <w:color w:val="000000"/>
                <w:sz w:val="20"/>
                <w:szCs w:val="20"/>
              </w:rPr>
              <w:t>Number of linked genes</w:t>
            </w:r>
          </w:p>
        </w:tc>
        <w:tc>
          <w:tcPr>
            <w:tcW w:w="928" w:type="dxa"/>
            <w:textDirection w:val="btLr"/>
          </w:tcPr>
          <w:p w:rsidR="00D71467" w:rsidRPr="00DF487C" w:rsidRDefault="00D71467" w:rsidP="005F6531">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DF487C">
              <w:rPr>
                <w:rFonts w:ascii="Arial" w:hAnsi="Arial" w:cs="Arial"/>
                <w:bCs w:val="0"/>
                <w:color w:val="000000"/>
                <w:sz w:val="20"/>
                <w:szCs w:val="20"/>
              </w:rPr>
              <w:t>GO Biological Process</w:t>
            </w:r>
          </w:p>
        </w:tc>
        <w:tc>
          <w:tcPr>
            <w:tcW w:w="1044" w:type="dxa"/>
            <w:textDirection w:val="btLr"/>
          </w:tcPr>
          <w:p w:rsidR="00D71467" w:rsidRPr="00DF487C" w:rsidRDefault="00D71467" w:rsidP="005F6531">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DF487C">
              <w:rPr>
                <w:rFonts w:ascii="Arial" w:hAnsi="Arial" w:cs="Arial"/>
                <w:bCs w:val="0"/>
                <w:color w:val="000000"/>
                <w:sz w:val="20"/>
                <w:szCs w:val="20"/>
              </w:rPr>
              <w:t xml:space="preserve">GO </w:t>
            </w:r>
          </w:p>
          <w:p w:rsidR="00D71467" w:rsidRPr="00DF487C" w:rsidRDefault="00D71467" w:rsidP="005F6531">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DF487C">
              <w:rPr>
                <w:rFonts w:ascii="Arial" w:hAnsi="Arial" w:cs="Arial"/>
                <w:bCs w:val="0"/>
                <w:color w:val="000000"/>
                <w:sz w:val="20"/>
                <w:szCs w:val="20"/>
              </w:rPr>
              <w:t>Cellular Component</w:t>
            </w:r>
          </w:p>
        </w:tc>
        <w:tc>
          <w:tcPr>
            <w:tcW w:w="912" w:type="dxa"/>
            <w:textDirection w:val="btLr"/>
          </w:tcPr>
          <w:p w:rsidR="00D71467" w:rsidRPr="00DF487C" w:rsidRDefault="00D71467" w:rsidP="005F6531">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DF487C">
              <w:rPr>
                <w:rFonts w:ascii="Arial" w:hAnsi="Arial" w:cs="Arial"/>
                <w:bCs w:val="0"/>
                <w:color w:val="000000"/>
                <w:sz w:val="20"/>
                <w:szCs w:val="20"/>
              </w:rPr>
              <w:t>GO Molecular Function</w:t>
            </w:r>
          </w:p>
        </w:tc>
        <w:tc>
          <w:tcPr>
            <w:tcW w:w="978" w:type="dxa"/>
            <w:textDirection w:val="btLr"/>
          </w:tcPr>
          <w:p w:rsidR="00D71467" w:rsidRPr="00DF487C" w:rsidRDefault="00D71467" w:rsidP="005F6531">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DF487C">
              <w:rPr>
                <w:rFonts w:ascii="Arial" w:hAnsi="Arial" w:cs="Arial"/>
                <w:bCs w:val="0"/>
                <w:color w:val="000000"/>
                <w:sz w:val="20"/>
                <w:szCs w:val="20"/>
              </w:rPr>
              <w:t>Human Phenotype</w:t>
            </w:r>
          </w:p>
        </w:tc>
        <w:tc>
          <w:tcPr>
            <w:tcW w:w="978" w:type="dxa"/>
            <w:textDirection w:val="btLr"/>
          </w:tcPr>
          <w:p w:rsidR="00D71467" w:rsidRPr="00DF487C" w:rsidRDefault="00D71467" w:rsidP="005F6531">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DF487C">
              <w:rPr>
                <w:rFonts w:ascii="Arial" w:hAnsi="Arial" w:cs="Arial"/>
                <w:bCs w:val="0"/>
                <w:color w:val="000000"/>
                <w:sz w:val="20"/>
                <w:szCs w:val="20"/>
              </w:rPr>
              <w:t>Mouse Phenotype Single KO</w:t>
            </w:r>
          </w:p>
        </w:tc>
        <w:tc>
          <w:tcPr>
            <w:tcW w:w="636" w:type="dxa"/>
            <w:textDirection w:val="btLr"/>
          </w:tcPr>
          <w:p w:rsidR="00D71467" w:rsidRPr="00DF487C" w:rsidRDefault="00D71467" w:rsidP="005F6531">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DF487C">
              <w:rPr>
                <w:rFonts w:ascii="Arial" w:hAnsi="Arial" w:cs="Arial"/>
                <w:bCs w:val="0"/>
                <w:color w:val="000000"/>
                <w:sz w:val="20"/>
                <w:szCs w:val="20"/>
              </w:rPr>
              <w:t>Mouse Phenotype</w:t>
            </w:r>
          </w:p>
        </w:tc>
        <w:tc>
          <w:tcPr>
            <w:tcW w:w="720" w:type="dxa"/>
            <w:textDirection w:val="btLr"/>
          </w:tcPr>
          <w:p w:rsidR="00D71467" w:rsidRPr="00DF487C" w:rsidRDefault="00D71467" w:rsidP="005F6531">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DF487C">
              <w:rPr>
                <w:rFonts w:ascii="Arial" w:hAnsi="Arial" w:cs="Arial"/>
                <w:bCs w:val="0"/>
                <w:color w:val="000000"/>
                <w:sz w:val="20"/>
                <w:szCs w:val="20"/>
              </w:rPr>
              <w:t>Number of GRMs</w:t>
            </w:r>
          </w:p>
        </w:tc>
        <w:tc>
          <w:tcPr>
            <w:tcW w:w="1620" w:type="dxa"/>
            <w:textDirection w:val="btLr"/>
          </w:tcPr>
          <w:p w:rsidR="00D71467" w:rsidRPr="00DF487C" w:rsidRDefault="00D71467" w:rsidP="005F6531">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DF487C">
              <w:rPr>
                <w:rFonts w:ascii="Arial" w:hAnsi="Arial" w:cs="Arial"/>
                <w:bCs w:val="0"/>
                <w:color w:val="000000"/>
                <w:sz w:val="20"/>
                <w:szCs w:val="20"/>
              </w:rPr>
              <w:t>DAG Visualization Report</w:t>
            </w:r>
          </w:p>
        </w:tc>
      </w:tr>
      <w:tr w:rsidR="005F6531" w:rsidRPr="00DF487C" w:rsidTr="005F65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rsidR="00D71467" w:rsidRPr="00DF487C" w:rsidRDefault="00D71467" w:rsidP="00913D4E">
            <w:pPr>
              <w:jc w:val="center"/>
              <w:rPr>
                <w:rFonts w:ascii="Arial" w:hAnsi="Arial" w:cs="Arial"/>
                <w:bCs w:val="0"/>
                <w:color w:val="000000"/>
                <w:sz w:val="20"/>
                <w:szCs w:val="20"/>
              </w:rPr>
            </w:pPr>
            <w:r w:rsidRPr="00DF487C">
              <w:rPr>
                <w:rFonts w:ascii="Arial" w:hAnsi="Arial" w:cs="Arial"/>
                <w:bCs w:val="0"/>
                <w:color w:val="000000"/>
                <w:sz w:val="20"/>
                <w:szCs w:val="20"/>
              </w:rPr>
              <w:t>Neurotrophins (neurotrophic factors)</w:t>
            </w:r>
          </w:p>
        </w:tc>
        <w:tc>
          <w:tcPr>
            <w:tcW w:w="585"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8</w:t>
            </w:r>
          </w:p>
        </w:tc>
        <w:tc>
          <w:tcPr>
            <w:tcW w:w="779"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12</w:t>
            </w:r>
          </w:p>
        </w:tc>
        <w:tc>
          <w:tcPr>
            <w:tcW w:w="92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12</w:t>
            </w:r>
          </w:p>
        </w:tc>
        <w:tc>
          <w:tcPr>
            <w:tcW w:w="1044"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0</w:t>
            </w:r>
          </w:p>
        </w:tc>
        <w:tc>
          <w:tcPr>
            <w:tcW w:w="912"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w:t>
            </w:r>
          </w:p>
        </w:tc>
        <w:tc>
          <w:tcPr>
            <w:tcW w:w="97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30</w:t>
            </w:r>
          </w:p>
        </w:tc>
        <w:tc>
          <w:tcPr>
            <w:tcW w:w="97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70</w:t>
            </w:r>
          </w:p>
        </w:tc>
        <w:tc>
          <w:tcPr>
            <w:tcW w:w="636"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77</w:t>
            </w:r>
          </w:p>
        </w:tc>
        <w:tc>
          <w:tcPr>
            <w:tcW w:w="720"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191</w:t>
            </w:r>
          </w:p>
        </w:tc>
        <w:tc>
          <w:tcPr>
            <w:tcW w:w="1620"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Figure S6</w:t>
            </w:r>
          </w:p>
        </w:tc>
      </w:tr>
      <w:tr w:rsidR="005F6531" w:rsidRPr="00DF487C" w:rsidTr="005F6531">
        <w:trPr>
          <w:jc w:val="center"/>
        </w:trPr>
        <w:tc>
          <w:tcPr>
            <w:cnfStyle w:val="001000000000" w:firstRow="0" w:lastRow="0" w:firstColumn="1" w:lastColumn="0" w:oddVBand="0" w:evenVBand="0" w:oddHBand="0" w:evenHBand="0" w:firstRowFirstColumn="0" w:firstRowLastColumn="0" w:lastRowFirstColumn="0" w:lastRowLastColumn="0"/>
            <w:tcW w:w="1980" w:type="dxa"/>
          </w:tcPr>
          <w:p w:rsidR="00D71467" w:rsidRPr="00DF487C" w:rsidRDefault="00D71467" w:rsidP="00913D4E">
            <w:pPr>
              <w:jc w:val="center"/>
              <w:rPr>
                <w:rFonts w:ascii="Arial" w:hAnsi="Arial" w:cs="Arial"/>
                <w:color w:val="000000"/>
                <w:sz w:val="20"/>
                <w:szCs w:val="20"/>
              </w:rPr>
            </w:pPr>
            <w:r w:rsidRPr="00DF487C">
              <w:rPr>
                <w:rFonts w:ascii="Arial" w:hAnsi="Arial" w:cs="Arial"/>
                <w:bCs w:val="0"/>
                <w:color w:val="000000"/>
                <w:sz w:val="20"/>
                <w:szCs w:val="20"/>
              </w:rPr>
              <w:t>Neurotrophins (expanded)</w:t>
            </w:r>
          </w:p>
        </w:tc>
        <w:tc>
          <w:tcPr>
            <w:tcW w:w="585"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29</w:t>
            </w:r>
          </w:p>
        </w:tc>
        <w:tc>
          <w:tcPr>
            <w:tcW w:w="779"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147</w:t>
            </w:r>
          </w:p>
        </w:tc>
        <w:tc>
          <w:tcPr>
            <w:tcW w:w="928"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4</w:t>
            </w:r>
          </w:p>
        </w:tc>
        <w:tc>
          <w:tcPr>
            <w:tcW w:w="1044"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3</w:t>
            </w:r>
          </w:p>
        </w:tc>
        <w:tc>
          <w:tcPr>
            <w:tcW w:w="912"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8</w:t>
            </w:r>
          </w:p>
        </w:tc>
        <w:tc>
          <w:tcPr>
            <w:tcW w:w="978"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0</w:t>
            </w:r>
          </w:p>
        </w:tc>
        <w:tc>
          <w:tcPr>
            <w:tcW w:w="978"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70</w:t>
            </w:r>
          </w:p>
        </w:tc>
        <w:tc>
          <w:tcPr>
            <w:tcW w:w="636"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59</w:t>
            </w:r>
          </w:p>
        </w:tc>
        <w:tc>
          <w:tcPr>
            <w:tcW w:w="720"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144</w:t>
            </w:r>
          </w:p>
        </w:tc>
        <w:tc>
          <w:tcPr>
            <w:tcW w:w="1620"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Supplementary Data Sets S2</w:t>
            </w:r>
          </w:p>
        </w:tc>
      </w:tr>
      <w:tr w:rsidR="005F6531" w:rsidRPr="00DF487C" w:rsidTr="005F65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rsidR="00D71467" w:rsidRPr="00DF487C" w:rsidRDefault="00D71467" w:rsidP="00913D4E">
            <w:pPr>
              <w:jc w:val="center"/>
              <w:rPr>
                <w:rFonts w:ascii="Arial" w:hAnsi="Arial" w:cs="Arial"/>
                <w:color w:val="000000"/>
                <w:sz w:val="20"/>
                <w:szCs w:val="20"/>
              </w:rPr>
            </w:pPr>
            <w:r w:rsidRPr="00DF487C">
              <w:rPr>
                <w:rFonts w:ascii="Arial" w:hAnsi="Arial" w:cs="Arial"/>
                <w:bCs w:val="0"/>
                <w:color w:val="000000"/>
                <w:sz w:val="20"/>
                <w:szCs w:val="20"/>
              </w:rPr>
              <w:t>Neurexins and Neuroligins R-HSA-6794361</w:t>
            </w:r>
          </w:p>
        </w:tc>
        <w:tc>
          <w:tcPr>
            <w:tcW w:w="585"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120</w:t>
            </w:r>
          </w:p>
        </w:tc>
        <w:tc>
          <w:tcPr>
            <w:tcW w:w="779"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30</w:t>
            </w:r>
          </w:p>
        </w:tc>
        <w:tc>
          <w:tcPr>
            <w:tcW w:w="92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61</w:t>
            </w:r>
          </w:p>
        </w:tc>
        <w:tc>
          <w:tcPr>
            <w:tcW w:w="1044"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19</w:t>
            </w:r>
          </w:p>
        </w:tc>
        <w:tc>
          <w:tcPr>
            <w:tcW w:w="912"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4</w:t>
            </w:r>
          </w:p>
        </w:tc>
        <w:tc>
          <w:tcPr>
            <w:tcW w:w="97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0</w:t>
            </w:r>
          </w:p>
        </w:tc>
        <w:tc>
          <w:tcPr>
            <w:tcW w:w="97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0</w:t>
            </w:r>
          </w:p>
        </w:tc>
        <w:tc>
          <w:tcPr>
            <w:tcW w:w="636"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0</w:t>
            </w:r>
          </w:p>
        </w:tc>
        <w:tc>
          <w:tcPr>
            <w:tcW w:w="720"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84</w:t>
            </w:r>
          </w:p>
        </w:tc>
        <w:tc>
          <w:tcPr>
            <w:tcW w:w="1620"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Figure S5</w:t>
            </w:r>
          </w:p>
        </w:tc>
      </w:tr>
      <w:tr w:rsidR="005F6531" w:rsidRPr="00DF487C" w:rsidTr="005F6531">
        <w:trPr>
          <w:jc w:val="center"/>
        </w:trPr>
        <w:tc>
          <w:tcPr>
            <w:cnfStyle w:val="001000000000" w:firstRow="0" w:lastRow="0" w:firstColumn="1" w:lastColumn="0" w:oddVBand="0" w:evenVBand="0" w:oddHBand="0" w:evenHBand="0" w:firstRowFirstColumn="0" w:firstRowLastColumn="0" w:lastRowFirstColumn="0" w:lastRowLastColumn="0"/>
            <w:tcW w:w="1980" w:type="dxa"/>
          </w:tcPr>
          <w:p w:rsidR="00D71467" w:rsidRPr="00DF487C" w:rsidRDefault="00D71467" w:rsidP="00913D4E">
            <w:pPr>
              <w:jc w:val="center"/>
              <w:rPr>
                <w:rFonts w:ascii="Arial" w:hAnsi="Arial" w:cs="Arial"/>
                <w:sz w:val="20"/>
                <w:szCs w:val="20"/>
              </w:rPr>
            </w:pPr>
            <w:r w:rsidRPr="00DF487C">
              <w:rPr>
                <w:rFonts w:ascii="Arial" w:hAnsi="Arial" w:cs="Arial"/>
                <w:bCs w:val="0"/>
                <w:sz w:val="20"/>
                <w:szCs w:val="20"/>
              </w:rPr>
              <w:t>Neurotransmitter receptor activity</w:t>
            </w:r>
          </w:p>
        </w:tc>
        <w:tc>
          <w:tcPr>
            <w:tcW w:w="585"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137</w:t>
            </w:r>
          </w:p>
        </w:tc>
        <w:tc>
          <w:tcPr>
            <w:tcW w:w="779"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30</w:t>
            </w:r>
          </w:p>
        </w:tc>
        <w:tc>
          <w:tcPr>
            <w:tcW w:w="928"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34</w:t>
            </w:r>
          </w:p>
        </w:tc>
        <w:tc>
          <w:tcPr>
            <w:tcW w:w="1044"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29</w:t>
            </w:r>
          </w:p>
        </w:tc>
        <w:tc>
          <w:tcPr>
            <w:tcW w:w="912"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38</w:t>
            </w:r>
          </w:p>
        </w:tc>
        <w:tc>
          <w:tcPr>
            <w:tcW w:w="978"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0</w:t>
            </w:r>
          </w:p>
        </w:tc>
        <w:tc>
          <w:tcPr>
            <w:tcW w:w="978"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20</w:t>
            </w:r>
          </w:p>
        </w:tc>
        <w:tc>
          <w:tcPr>
            <w:tcW w:w="636"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32</w:t>
            </w:r>
          </w:p>
        </w:tc>
        <w:tc>
          <w:tcPr>
            <w:tcW w:w="720"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153</w:t>
            </w:r>
          </w:p>
        </w:tc>
        <w:tc>
          <w:tcPr>
            <w:tcW w:w="1620"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Figure S7</w:t>
            </w:r>
          </w:p>
        </w:tc>
      </w:tr>
      <w:tr w:rsidR="005F6531" w:rsidRPr="00DF487C" w:rsidTr="005F65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rsidR="00D71467" w:rsidRPr="00DF487C" w:rsidRDefault="00D71467" w:rsidP="00913D4E">
            <w:pPr>
              <w:jc w:val="center"/>
              <w:rPr>
                <w:rFonts w:ascii="Arial" w:hAnsi="Arial" w:cs="Arial"/>
                <w:color w:val="000000"/>
                <w:sz w:val="20"/>
                <w:szCs w:val="20"/>
              </w:rPr>
            </w:pPr>
            <w:r w:rsidRPr="00DF487C">
              <w:rPr>
                <w:rFonts w:ascii="Arial" w:hAnsi="Arial" w:cs="Arial"/>
                <w:bCs w:val="0"/>
                <w:color w:val="000000"/>
                <w:sz w:val="20"/>
                <w:szCs w:val="20"/>
              </w:rPr>
              <w:t>Signaling by Receptor Tyrosine Kinases R-HSA-9006934</w:t>
            </w:r>
          </w:p>
        </w:tc>
        <w:tc>
          <w:tcPr>
            <w:tcW w:w="585"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241</w:t>
            </w:r>
          </w:p>
        </w:tc>
        <w:tc>
          <w:tcPr>
            <w:tcW w:w="779"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81</w:t>
            </w:r>
          </w:p>
        </w:tc>
        <w:tc>
          <w:tcPr>
            <w:tcW w:w="92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172</w:t>
            </w:r>
          </w:p>
        </w:tc>
        <w:tc>
          <w:tcPr>
            <w:tcW w:w="1044"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8</w:t>
            </w:r>
          </w:p>
        </w:tc>
        <w:tc>
          <w:tcPr>
            <w:tcW w:w="912"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12</w:t>
            </w:r>
          </w:p>
        </w:tc>
        <w:tc>
          <w:tcPr>
            <w:tcW w:w="97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0</w:t>
            </w:r>
          </w:p>
        </w:tc>
        <w:tc>
          <w:tcPr>
            <w:tcW w:w="97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24</w:t>
            </w:r>
          </w:p>
        </w:tc>
        <w:tc>
          <w:tcPr>
            <w:tcW w:w="636"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69</w:t>
            </w:r>
          </w:p>
        </w:tc>
        <w:tc>
          <w:tcPr>
            <w:tcW w:w="720"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285</w:t>
            </w:r>
          </w:p>
        </w:tc>
        <w:tc>
          <w:tcPr>
            <w:tcW w:w="1620"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Figure S9</w:t>
            </w:r>
          </w:p>
        </w:tc>
      </w:tr>
      <w:tr w:rsidR="005F6531" w:rsidRPr="00DF487C" w:rsidTr="005F6531">
        <w:trPr>
          <w:jc w:val="center"/>
        </w:trPr>
        <w:tc>
          <w:tcPr>
            <w:cnfStyle w:val="001000000000" w:firstRow="0" w:lastRow="0" w:firstColumn="1" w:lastColumn="0" w:oddVBand="0" w:evenVBand="0" w:oddHBand="0" w:evenHBand="0" w:firstRowFirstColumn="0" w:firstRowLastColumn="0" w:lastRowFirstColumn="0" w:lastRowLastColumn="0"/>
            <w:tcW w:w="1980" w:type="dxa"/>
          </w:tcPr>
          <w:p w:rsidR="00D71467" w:rsidRPr="00DF487C" w:rsidRDefault="00D71467" w:rsidP="00913D4E">
            <w:pPr>
              <w:jc w:val="center"/>
              <w:rPr>
                <w:rFonts w:ascii="Arial" w:hAnsi="Arial" w:cs="Arial"/>
                <w:color w:val="000000"/>
                <w:sz w:val="20"/>
                <w:szCs w:val="20"/>
              </w:rPr>
            </w:pPr>
            <w:r w:rsidRPr="00DF487C">
              <w:rPr>
                <w:rFonts w:ascii="Arial" w:hAnsi="Arial" w:cs="Arial"/>
                <w:bCs w:val="0"/>
                <w:color w:val="000000"/>
                <w:sz w:val="20"/>
                <w:szCs w:val="20"/>
              </w:rPr>
              <w:t>RET-GDNF pathway</w:t>
            </w:r>
          </w:p>
        </w:tc>
        <w:tc>
          <w:tcPr>
            <w:tcW w:w="585"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115</w:t>
            </w:r>
          </w:p>
        </w:tc>
        <w:tc>
          <w:tcPr>
            <w:tcW w:w="779"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28</w:t>
            </w:r>
          </w:p>
        </w:tc>
        <w:tc>
          <w:tcPr>
            <w:tcW w:w="928"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181</w:t>
            </w:r>
          </w:p>
        </w:tc>
        <w:tc>
          <w:tcPr>
            <w:tcW w:w="1044"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0</w:t>
            </w:r>
          </w:p>
        </w:tc>
        <w:tc>
          <w:tcPr>
            <w:tcW w:w="912"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w:t>
            </w:r>
          </w:p>
        </w:tc>
        <w:tc>
          <w:tcPr>
            <w:tcW w:w="978"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8</w:t>
            </w:r>
          </w:p>
        </w:tc>
        <w:tc>
          <w:tcPr>
            <w:tcW w:w="978"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107</w:t>
            </w:r>
          </w:p>
        </w:tc>
        <w:tc>
          <w:tcPr>
            <w:tcW w:w="636"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191</w:t>
            </w:r>
          </w:p>
        </w:tc>
        <w:tc>
          <w:tcPr>
            <w:tcW w:w="720"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488</w:t>
            </w:r>
          </w:p>
        </w:tc>
        <w:tc>
          <w:tcPr>
            <w:tcW w:w="1620"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Figure S4</w:t>
            </w:r>
          </w:p>
        </w:tc>
      </w:tr>
      <w:tr w:rsidR="005F6531" w:rsidRPr="00DF487C" w:rsidTr="005F65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rsidR="00D71467" w:rsidRPr="00DF487C" w:rsidRDefault="00D71467" w:rsidP="00913D4E">
            <w:pPr>
              <w:jc w:val="center"/>
              <w:rPr>
                <w:rFonts w:ascii="Arial" w:hAnsi="Arial" w:cs="Arial"/>
                <w:color w:val="000000"/>
                <w:sz w:val="20"/>
                <w:szCs w:val="20"/>
              </w:rPr>
            </w:pPr>
            <w:r w:rsidRPr="00DF487C">
              <w:rPr>
                <w:rFonts w:ascii="Arial" w:hAnsi="Arial" w:cs="Arial"/>
                <w:bCs w:val="0"/>
                <w:color w:val="000000"/>
                <w:sz w:val="20"/>
                <w:szCs w:val="20"/>
              </w:rPr>
              <w:t>Neuroactive ligand-receptor interactions</w:t>
            </w:r>
          </w:p>
        </w:tc>
        <w:tc>
          <w:tcPr>
            <w:tcW w:w="585"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305</w:t>
            </w:r>
          </w:p>
        </w:tc>
        <w:tc>
          <w:tcPr>
            <w:tcW w:w="779"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84</w:t>
            </w:r>
          </w:p>
        </w:tc>
        <w:tc>
          <w:tcPr>
            <w:tcW w:w="92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85</w:t>
            </w:r>
          </w:p>
        </w:tc>
        <w:tc>
          <w:tcPr>
            <w:tcW w:w="1044"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30</w:t>
            </w:r>
          </w:p>
        </w:tc>
        <w:tc>
          <w:tcPr>
            <w:tcW w:w="912"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43</w:t>
            </w:r>
          </w:p>
        </w:tc>
        <w:tc>
          <w:tcPr>
            <w:tcW w:w="97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0</w:t>
            </w:r>
          </w:p>
        </w:tc>
        <w:tc>
          <w:tcPr>
            <w:tcW w:w="97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80</w:t>
            </w:r>
          </w:p>
        </w:tc>
        <w:tc>
          <w:tcPr>
            <w:tcW w:w="636"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85</w:t>
            </w:r>
          </w:p>
        </w:tc>
        <w:tc>
          <w:tcPr>
            <w:tcW w:w="720"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323</w:t>
            </w:r>
          </w:p>
        </w:tc>
        <w:tc>
          <w:tcPr>
            <w:tcW w:w="1620"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Figure S8</w:t>
            </w:r>
          </w:p>
        </w:tc>
      </w:tr>
      <w:tr w:rsidR="005F6531" w:rsidRPr="00DF487C" w:rsidTr="005F6531">
        <w:trPr>
          <w:jc w:val="center"/>
        </w:trPr>
        <w:tc>
          <w:tcPr>
            <w:cnfStyle w:val="001000000000" w:firstRow="0" w:lastRow="0" w:firstColumn="1" w:lastColumn="0" w:oddVBand="0" w:evenVBand="0" w:oddHBand="0" w:evenHBand="0" w:firstRowFirstColumn="0" w:firstRowLastColumn="0" w:lastRowFirstColumn="0" w:lastRowLastColumn="0"/>
            <w:tcW w:w="1980" w:type="dxa"/>
          </w:tcPr>
          <w:p w:rsidR="00D71467" w:rsidRPr="00DF487C" w:rsidRDefault="00D71467" w:rsidP="00913D4E">
            <w:pPr>
              <w:jc w:val="center"/>
              <w:rPr>
                <w:rFonts w:ascii="Arial" w:hAnsi="Arial" w:cs="Arial"/>
                <w:color w:val="000000"/>
                <w:sz w:val="20"/>
                <w:szCs w:val="20"/>
              </w:rPr>
            </w:pPr>
            <w:r w:rsidRPr="00DF487C">
              <w:rPr>
                <w:rFonts w:ascii="Arial" w:hAnsi="Arial" w:cs="Arial"/>
                <w:bCs w:val="0"/>
                <w:color w:val="000000"/>
                <w:sz w:val="20"/>
                <w:szCs w:val="20"/>
              </w:rPr>
              <w:t xml:space="preserve">GSEA-defined GRN of </w:t>
            </w:r>
            <w:r>
              <w:rPr>
                <w:rFonts w:ascii="Arial" w:hAnsi="Arial" w:cs="Arial"/>
                <w:bCs w:val="0"/>
                <w:color w:val="000000"/>
                <w:sz w:val="20"/>
                <w:szCs w:val="20"/>
              </w:rPr>
              <w:t>regulatory LTR</w:t>
            </w:r>
            <w:r w:rsidRPr="00DF487C">
              <w:rPr>
                <w:rFonts w:ascii="Arial" w:hAnsi="Arial" w:cs="Arial"/>
                <w:bCs w:val="0"/>
                <w:color w:val="000000"/>
                <w:sz w:val="20"/>
                <w:szCs w:val="20"/>
              </w:rPr>
              <w:t>s</w:t>
            </w:r>
          </w:p>
        </w:tc>
        <w:tc>
          <w:tcPr>
            <w:tcW w:w="585"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966</w:t>
            </w:r>
          </w:p>
        </w:tc>
        <w:tc>
          <w:tcPr>
            <w:tcW w:w="779"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255</w:t>
            </w:r>
          </w:p>
        </w:tc>
        <w:tc>
          <w:tcPr>
            <w:tcW w:w="928"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287</w:t>
            </w:r>
          </w:p>
        </w:tc>
        <w:tc>
          <w:tcPr>
            <w:tcW w:w="1044"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38</w:t>
            </w:r>
          </w:p>
        </w:tc>
        <w:tc>
          <w:tcPr>
            <w:tcW w:w="912"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20</w:t>
            </w:r>
          </w:p>
        </w:tc>
        <w:tc>
          <w:tcPr>
            <w:tcW w:w="978"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w:t>
            </w:r>
          </w:p>
        </w:tc>
        <w:tc>
          <w:tcPr>
            <w:tcW w:w="978"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136</w:t>
            </w:r>
          </w:p>
        </w:tc>
        <w:tc>
          <w:tcPr>
            <w:tcW w:w="636"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264</w:t>
            </w:r>
          </w:p>
        </w:tc>
        <w:tc>
          <w:tcPr>
            <w:tcW w:w="720"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747</w:t>
            </w:r>
          </w:p>
        </w:tc>
        <w:tc>
          <w:tcPr>
            <w:tcW w:w="1620" w:type="dxa"/>
          </w:tcPr>
          <w:p w:rsidR="00D71467" w:rsidRPr="00DF487C" w:rsidRDefault="00D71467" w:rsidP="00913D4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Figure S10</w:t>
            </w:r>
          </w:p>
        </w:tc>
      </w:tr>
      <w:tr w:rsidR="005F6531" w:rsidRPr="00DF487C" w:rsidTr="005F65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rsidR="00D71467" w:rsidRPr="00DF487C" w:rsidRDefault="00D71467" w:rsidP="00913D4E">
            <w:pPr>
              <w:jc w:val="center"/>
              <w:rPr>
                <w:rFonts w:ascii="Arial" w:hAnsi="Arial" w:cs="Arial"/>
                <w:color w:val="000000"/>
                <w:sz w:val="20"/>
                <w:szCs w:val="20"/>
              </w:rPr>
            </w:pPr>
            <w:r w:rsidRPr="00DF487C">
              <w:rPr>
                <w:rFonts w:ascii="Arial" w:hAnsi="Arial" w:cs="Arial"/>
                <w:bCs w:val="0"/>
                <w:color w:val="000000"/>
                <w:sz w:val="20"/>
                <w:szCs w:val="20"/>
              </w:rPr>
              <w:t xml:space="preserve">GSEA-defined GRN of </w:t>
            </w:r>
            <w:r>
              <w:rPr>
                <w:rFonts w:ascii="Arial" w:hAnsi="Arial" w:cs="Arial"/>
                <w:bCs w:val="0"/>
                <w:color w:val="000000"/>
                <w:sz w:val="20"/>
                <w:szCs w:val="20"/>
              </w:rPr>
              <w:t>regulatory LTR</w:t>
            </w:r>
            <w:r w:rsidRPr="00DF487C">
              <w:rPr>
                <w:rFonts w:ascii="Arial" w:hAnsi="Arial" w:cs="Arial"/>
                <w:bCs w:val="0"/>
                <w:color w:val="000000"/>
                <w:sz w:val="20"/>
                <w:szCs w:val="20"/>
              </w:rPr>
              <w:t>s (all significant GRMs)#</w:t>
            </w:r>
          </w:p>
        </w:tc>
        <w:tc>
          <w:tcPr>
            <w:tcW w:w="585"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966</w:t>
            </w:r>
          </w:p>
        </w:tc>
        <w:tc>
          <w:tcPr>
            <w:tcW w:w="779"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255</w:t>
            </w:r>
          </w:p>
        </w:tc>
        <w:tc>
          <w:tcPr>
            <w:tcW w:w="92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1359</w:t>
            </w:r>
          </w:p>
        </w:tc>
        <w:tc>
          <w:tcPr>
            <w:tcW w:w="1044"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96</w:t>
            </w:r>
          </w:p>
        </w:tc>
        <w:tc>
          <w:tcPr>
            <w:tcW w:w="912"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132</w:t>
            </w:r>
          </w:p>
        </w:tc>
        <w:tc>
          <w:tcPr>
            <w:tcW w:w="97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178</w:t>
            </w:r>
          </w:p>
        </w:tc>
        <w:tc>
          <w:tcPr>
            <w:tcW w:w="978"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955</w:t>
            </w:r>
          </w:p>
        </w:tc>
        <w:tc>
          <w:tcPr>
            <w:tcW w:w="636"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1165</w:t>
            </w:r>
          </w:p>
        </w:tc>
        <w:tc>
          <w:tcPr>
            <w:tcW w:w="720"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3885</w:t>
            </w:r>
          </w:p>
        </w:tc>
        <w:tc>
          <w:tcPr>
            <w:tcW w:w="1620" w:type="dxa"/>
          </w:tcPr>
          <w:p w:rsidR="00D71467" w:rsidRPr="00DF487C" w:rsidRDefault="00D71467" w:rsidP="00913D4E">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DF487C">
              <w:rPr>
                <w:rFonts w:ascii="Arial" w:hAnsi="Arial" w:cs="Arial"/>
                <w:color w:val="000000"/>
                <w:sz w:val="20"/>
                <w:szCs w:val="20"/>
              </w:rPr>
              <w:t>Supplementary Data Sets S2</w:t>
            </w:r>
          </w:p>
        </w:tc>
      </w:tr>
    </w:tbl>
    <w:p w:rsidR="00D71467" w:rsidRPr="00DF487C" w:rsidRDefault="00D71467" w:rsidP="00D71467">
      <w:pPr>
        <w:spacing w:line="240" w:lineRule="auto"/>
        <w:contextualSpacing/>
        <w:rPr>
          <w:rFonts w:ascii="Arial" w:hAnsi="Arial" w:cs="Arial"/>
          <w:sz w:val="20"/>
          <w:szCs w:val="20"/>
        </w:rPr>
      </w:pPr>
      <w:r w:rsidRPr="00DF487C">
        <w:rPr>
          <w:rFonts w:ascii="Arial" w:hAnsi="Arial" w:cs="Arial"/>
          <w:sz w:val="20"/>
          <w:szCs w:val="20"/>
        </w:rPr>
        <w:t xml:space="preserve">Legend: *, A directed acyclic graph (DAG) test was carried out on the enriched terms from a single ontology-specific table generated by the GREAT algorithm; </w:t>
      </w:r>
    </w:p>
    <w:p w:rsidR="00D71467" w:rsidRPr="00DF487C" w:rsidRDefault="00D71467" w:rsidP="00D71467">
      <w:pPr>
        <w:spacing w:line="240" w:lineRule="auto"/>
        <w:contextualSpacing/>
        <w:rPr>
          <w:rFonts w:ascii="Arial" w:hAnsi="Arial" w:cs="Arial"/>
          <w:sz w:val="20"/>
          <w:szCs w:val="20"/>
        </w:rPr>
      </w:pPr>
      <w:r w:rsidRPr="00DF487C">
        <w:rPr>
          <w:rFonts w:ascii="Arial" w:hAnsi="Arial" w:cs="Arial"/>
          <w:sz w:val="20"/>
          <w:szCs w:val="20"/>
        </w:rPr>
        <w:t>**, For each GRP, reported numbers of GRMs were determined using a directed acyclic graph (DAG) test applied to 6 independent gene ontology-specific enrichment analyses employing the GREAT algorithm (see Supplementary Data Sets S2 for complete reports);</w:t>
      </w:r>
    </w:p>
    <w:p w:rsidR="00D71467" w:rsidRPr="00DF487C" w:rsidRDefault="00D71467" w:rsidP="00D71467">
      <w:pPr>
        <w:spacing w:line="240" w:lineRule="auto"/>
        <w:contextualSpacing/>
        <w:rPr>
          <w:rFonts w:ascii="Arial" w:hAnsi="Arial" w:cs="Arial"/>
          <w:sz w:val="20"/>
          <w:szCs w:val="20"/>
        </w:rPr>
      </w:pPr>
      <w:r w:rsidRPr="00DF487C">
        <w:rPr>
          <w:rFonts w:ascii="Arial" w:hAnsi="Arial" w:cs="Arial"/>
          <w:sz w:val="20"/>
          <w:szCs w:val="20"/>
        </w:rPr>
        <w:t xml:space="preserve">***, GSEA-defined GRPs associated with human embryo </w:t>
      </w:r>
      <w:r>
        <w:rPr>
          <w:rFonts w:ascii="Arial" w:hAnsi="Arial" w:cs="Arial"/>
          <w:sz w:val="20"/>
          <w:szCs w:val="20"/>
        </w:rPr>
        <w:t>regulatory LTR</w:t>
      </w:r>
      <w:r w:rsidRPr="00DF487C">
        <w:rPr>
          <w:rFonts w:ascii="Arial" w:hAnsi="Arial" w:cs="Arial"/>
          <w:sz w:val="20"/>
          <w:szCs w:val="20"/>
        </w:rPr>
        <w:t>s were identified using the Enrichr Bioinformatics Platform at the statistical significance threshold of the adjusted P-value &lt; 0.05 (Supplementary Data Sets S2);</w:t>
      </w:r>
    </w:p>
    <w:p w:rsidR="00D71467" w:rsidRPr="00DF487C" w:rsidRDefault="00D71467" w:rsidP="00D71467">
      <w:pPr>
        <w:spacing w:line="240" w:lineRule="auto"/>
        <w:contextualSpacing/>
        <w:rPr>
          <w:rFonts w:ascii="Arial" w:hAnsi="Arial" w:cs="Arial"/>
          <w:sz w:val="20"/>
          <w:szCs w:val="20"/>
        </w:rPr>
      </w:pPr>
      <w:r w:rsidRPr="00DF487C">
        <w:rPr>
          <w:rFonts w:ascii="Arial" w:hAnsi="Arial" w:cs="Arial"/>
          <w:sz w:val="20"/>
          <w:szCs w:val="20"/>
        </w:rPr>
        <w:t xml:space="preserve">#, reported numbers of GRMs were identified by the GREAT algorithm at the statistical significance threshold of the Binominal FDR Q-value &lt; 0.001 (Supplementary Data Sets S2). </w:t>
      </w:r>
    </w:p>
    <w:p w:rsidR="00D71467" w:rsidRDefault="00D71467" w:rsidP="00D71467">
      <w:pPr>
        <w:rPr>
          <w:rFonts w:ascii="Arial" w:hAnsi="Arial" w:cs="Arial"/>
          <w:sz w:val="20"/>
          <w:szCs w:val="20"/>
        </w:rPr>
      </w:pPr>
    </w:p>
    <w:p w:rsidR="00D71467" w:rsidRDefault="00D71467" w:rsidP="00D71467">
      <w:pPr>
        <w:rPr>
          <w:rFonts w:ascii="Arial" w:hAnsi="Arial" w:cs="Arial"/>
          <w:sz w:val="20"/>
          <w:szCs w:val="20"/>
        </w:rPr>
      </w:pPr>
    </w:p>
    <w:p w:rsidR="00D71467" w:rsidRDefault="00D71467" w:rsidP="00D71467">
      <w:pPr>
        <w:rPr>
          <w:rFonts w:ascii="Arial" w:hAnsi="Arial" w:cs="Arial"/>
          <w:sz w:val="20"/>
          <w:szCs w:val="20"/>
        </w:rPr>
      </w:pPr>
    </w:p>
    <w:p w:rsidR="00D71467" w:rsidRDefault="00D71467" w:rsidP="00D71467">
      <w:pPr>
        <w:rPr>
          <w:rFonts w:ascii="Arial" w:hAnsi="Arial" w:cs="Arial"/>
          <w:sz w:val="20"/>
          <w:szCs w:val="20"/>
        </w:rPr>
      </w:pPr>
    </w:p>
    <w:p w:rsidR="000446B9" w:rsidRDefault="000446B9" w:rsidP="00A71EB1">
      <w:pPr>
        <w:autoSpaceDE w:val="0"/>
        <w:autoSpaceDN w:val="0"/>
        <w:adjustRightInd w:val="0"/>
        <w:spacing w:after="0" w:line="240" w:lineRule="auto"/>
        <w:rPr>
          <w:rFonts w:ascii="Arial" w:hAnsi="Arial" w:cs="Arial"/>
          <w:b/>
        </w:rPr>
      </w:pPr>
    </w:p>
    <w:p w:rsidR="00A73B29" w:rsidRDefault="00A73B29" w:rsidP="00A71EB1">
      <w:pPr>
        <w:autoSpaceDE w:val="0"/>
        <w:autoSpaceDN w:val="0"/>
        <w:adjustRightInd w:val="0"/>
        <w:spacing w:after="0" w:line="240" w:lineRule="auto"/>
        <w:rPr>
          <w:rFonts w:ascii="Arial" w:hAnsi="Arial" w:cs="Arial"/>
          <w:b/>
        </w:rPr>
      </w:pPr>
    </w:p>
    <w:p w:rsidR="00A73B29" w:rsidRDefault="00A73B29" w:rsidP="00A71EB1">
      <w:pPr>
        <w:autoSpaceDE w:val="0"/>
        <w:autoSpaceDN w:val="0"/>
        <w:adjustRightInd w:val="0"/>
        <w:spacing w:after="0" w:line="240" w:lineRule="auto"/>
        <w:rPr>
          <w:rFonts w:ascii="Arial" w:hAnsi="Arial" w:cs="Arial"/>
          <w:b/>
        </w:rPr>
      </w:pPr>
    </w:p>
    <w:p w:rsidR="00A73B29" w:rsidRDefault="00A73B29" w:rsidP="00A71EB1">
      <w:pPr>
        <w:autoSpaceDE w:val="0"/>
        <w:autoSpaceDN w:val="0"/>
        <w:adjustRightInd w:val="0"/>
        <w:spacing w:after="0" w:line="240" w:lineRule="auto"/>
        <w:rPr>
          <w:rFonts w:ascii="Arial" w:hAnsi="Arial" w:cs="Arial"/>
          <w:b/>
        </w:rPr>
      </w:pPr>
    </w:p>
    <w:sectPr w:rsidR="00A73B29" w:rsidSect="00A73B2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674" w:rsidRDefault="00C14674" w:rsidP="00E20E4F">
      <w:pPr>
        <w:spacing w:after="0" w:line="240" w:lineRule="auto"/>
      </w:pPr>
      <w:r>
        <w:separator/>
      </w:r>
    </w:p>
  </w:endnote>
  <w:endnote w:type="continuationSeparator" w:id="0">
    <w:p w:rsidR="00C14674" w:rsidRDefault="00C14674" w:rsidP="00E20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674" w:rsidRDefault="00C14674" w:rsidP="00E20E4F">
      <w:pPr>
        <w:spacing w:after="0" w:line="240" w:lineRule="auto"/>
      </w:pPr>
      <w:r>
        <w:separator/>
      </w:r>
    </w:p>
  </w:footnote>
  <w:footnote w:type="continuationSeparator" w:id="0">
    <w:p w:rsidR="00C14674" w:rsidRDefault="00C14674" w:rsidP="00E20E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FA22DF"/>
    <w:multiLevelType w:val="hybridMultilevel"/>
    <w:tmpl w:val="0DE44B92"/>
    <w:lvl w:ilvl="0" w:tplc="CEFE82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3B4"/>
    <w:rsid w:val="000002DA"/>
    <w:rsid w:val="0000087D"/>
    <w:rsid w:val="000048E2"/>
    <w:rsid w:val="00006FB0"/>
    <w:rsid w:val="00007A52"/>
    <w:rsid w:val="000127E6"/>
    <w:rsid w:val="000149AB"/>
    <w:rsid w:val="0002291A"/>
    <w:rsid w:val="00030F22"/>
    <w:rsid w:val="000323C6"/>
    <w:rsid w:val="00033C20"/>
    <w:rsid w:val="000353EE"/>
    <w:rsid w:val="00037720"/>
    <w:rsid w:val="00037751"/>
    <w:rsid w:val="00037782"/>
    <w:rsid w:val="00042B24"/>
    <w:rsid w:val="000446B9"/>
    <w:rsid w:val="00045270"/>
    <w:rsid w:val="00045AF1"/>
    <w:rsid w:val="00047DF0"/>
    <w:rsid w:val="00053BBC"/>
    <w:rsid w:val="000562BC"/>
    <w:rsid w:val="000638D2"/>
    <w:rsid w:val="000659A2"/>
    <w:rsid w:val="0007081F"/>
    <w:rsid w:val="00070950"/>
    <w:rsid w:val="00075490"/>
    <w:rsid w:val="00076C2E"/>
    <w:rsid w:val="00077633"/>
    <w:rsid w:val="00087AA0"/>
    <w:rsid w:val="000928F5"/>
    <w:rsid w:val="00092EDF"/>
    <w:rsid w:val="0009632E"/>
    <w:rsid w:val="000A0C68"/>
    <w:rsid w:val="000A1EAE"/>
    <w:rsid w:val="000A2FFB"/>
    <w:rsid w:val="000A3705"/>
    <w:rsid w:val="000A4AFD"/>
    <w:rsid w:val="000A4FC1"/>
    <w:rsid w:val="000A50D6"/>
    <w:rsid w:val="000A614E"/>
    <w:rsid w:val="000A6B87"/>
    <w:rsid w:val="000B12AD"/>
    <w:rsid w:val="000B2874"/>
    <w:rsid w:val="000B318D"/>
    <w:rsid w:val="000B4A50"/>
    <w:rsid w:val="000C02BD"/>
    <w:rsid w:val="000C13B7"/>
    <w:rsid w:val="000C159B"/>
    <w:rsid w:val="000C1826"/>
    <w:rsid w:val="000C1B86"/>
    <w:rsid w:val="000C2954"/>
    <w:rsid w:val="000C4A92"/>
    <w:rsid w:val="000C6172"/>
    <w:rsid w:val="000C6616"/>
    <w:rsid w:val="000D0A25"/>
    <w:rsid w:val="000D12D5"/>
    <w:rsid w:val="000D2A1E"/>
    <w:rsid w:val="000D533F"/>
    <w:rsid w:val="000D625C"/>
    <w:rsid w:val="000D668A"/>
    <w:rsid w:val="000E093D"/>
    <w:rsid w:val="000E37F7"/>
    <w:rsid w:val="000E5C58"/>
    <w:rsid w:val="000E6574"/>
    <w:rsid w:val="000E711F"/>
    <w:rsid w:val="000E720A"/>
    <w:rsid w:val="000E7686"/>
    <w:rsid w:val="000F0BBA"/>
    <w:rsid w:val="000F2348"/>
    <w:rsid w:val="000F43A9"/>
    <w:rsid w:val="000F6A18"/>
    <w:rsid w:val="000F6C8B"/>
    <w:rsid w:val="00100702"/>
    <w:rsid w:val="00100FE1"/>
    <w:rsid w:val="001010C4"/>
    <w:rsid w:val="00106AD4"/>
    <w:rsid w:val="00107F60"/>
    <w:rsid w:val="0011221D"/>
    <w:rsid w:val="00112289"/>
    <w:rsid w:val="0011282A"/>
    <w:rsid w:val="00113180"/>
    <w:rsid w:val="001145C5"/>
    <w:rsid w:val="00115076"/>
    <w:rsid w:val="001163B1"/>
    <w:rsid w:val="00116704"/>
    <w:rsid w:val="00116A0F"/>
    <w:rsid w:val="00122869"/>
    <w:rsid w:val="001234ED"/>
    <w:rsid w:val="00127EB6"/>
    <w:rsid w:val="0013005B"/>
    <w:rsid w:val="00130CE4"/>
    <w:rsid w:val="001319A2"/>
    <w:rsid w:val="001324D7"/>
    <w:rsid w:val="001415F7"/>
    <w:rsid w:val="001419D9"/>
    <w:rsid w:val="00142568"/>
    <w:rsid w:val="00143C92"/>
    <w:rsid w:val="001455A0"/>
    <w:rsid w:val="001549D0"/>
    <w:rsid w:val="001561CF"/>
    <w:rsid w:val="00157DC9"/>
    <w:rsid w:val="001612AC"/>
    <w:rsid w:val="001636B3"/>
    <w:rsid w:val="001663A2"/>
    <w:rsid w:val="00167CF3"/>
    <w:rsid w:val="00170773"/>
    <w:rsid w:val="0017634A"/>
    <w:rsid w:val="001768C5"/>
    <w:rsid w:val="00176F41"/>
    <w:rsid w:val="001816AB"/>
    <w:rsid w:val="00181EF1"/>
    <w:rsid w:val="00182EA1"/>
    <w:rsid w:val="00184C68"/>
    <w:rsid w:val="0018514D"/>
    <w:rsid w:val="00185346"/>
    <w:rsid w:val="0018538C"/>
    <w:rsid w:val="001866F8"/>
    <w:rsid w:val="00187527"/>
    <w:rsid w:val="00187E77"/>
    <w:rsid w:val="00190150"/>
    <w:rsid w:val="001913EC"/>
    <w:rsid w:val="00195A9A"/>
    <w:rsid w:val="00196659"/>
    <w:rsid w:val="001A0A8E"/>
    <w:rsid w:val="001A62AD"/>
    <w:rsid w:val="001B0C94"/>
    <w:rsid w:val="001C0263"/>
    <w:rsid w:val="001C238F"/>
    <w:rsid w:val="001C568C"/>
    <w:rsid w:val="001D1218"/>
    <w:rsid w:val="001D4562"/>
    <w:rsid w:val="001D7695"/>
    <w:rsid w:val="001E07C6"/>
    <w:rsid w:val="001E21A1"/>
    <w:rsid w:val="001E2B7F"/>
    <w:rsid w:val="001E3E0C"/>
    <w:rsid w:val="001E66DF"/>
    <w:rsid w:val="001F0240"/>
    <w:rsid w:val="001F1D1E"/>
    <w:rsid w:val="001F25C3"/>
    <w:rsid w:val="001F4EA4"/>
    <w:rsid w:val="001F6A6C"/>
    <w:rsid w:val="001F7FB3"/>
    <w:rsid w:val="002005B0"/>
    <w:rsid w:val="0020218B"/>
    <w:rsid w:val="00204A53"/>
    <w:rsid w:val="002056C3"/>
    <w:rsid w:val="002058A9"/>
    <w:rsid w:val="00206BA6"/>
    <w:rsid w:val="00210200"/>
    <w:rsid w:val="0021076C"/>
    <w:rsid w:val="002136C9"/>
    <w:rsid w:val="00213BBD"/>
    <w:rsid w:val="00215037"/>
    <w:rsid w:val="002216B8"/>
    <w:rsid w:val="00223FCC"/>
    <w:rsid w:val="00226C00"/>
    <w:rsid w:val="00231CCE"/>
    <w:rsid w:val="00235C79"/>
    <w:rsid w:val="00237427"/>
    <w:rsid w:val="00240B61"/>
    <w:rsid w:val="00242BA1"/>
    <w:rsid w:val="0024415E"/>
    <w:rsid w:val="00244F29"/>
    <w:rsid w:val="00251585"/>
    <w:rsid w:val="0025598C"/>
    <w:rsid w:val="002573C7"/>
    <w:rsid w:val="002672BE"/>
    <w:rsid w:val="002677EE"/>
    <w:rsid w:val="002741DF"/>
    <w:rsid w:val="002805AF"/>
    <w:rsid w:val="0028151A"/>
    <w:rsid w:val="00282085"/>
    <w:rsid w:val="00285455"/>
    <w:rsid w:val="002856A6"/>
    <w:rsid w:val="00286129"/>
    <w:rsid w:val="00291B96"/>
    <w:rsid w:val="00291D66"/>
    <w:rsid w:val="00293E1C"/>
    <w:rsid w:val="0029530A"/>
    <w:rsid w:val="00295642"/>
    <w:rsid w:val="00295672"/>
    <w:rsid w:val="002A02F7"/>
    <w:rsid w:val="002A0531"/>
    <w:rsid w:val="002A18BB"/>
    <w:rsid w:val="002A5E50"/>
    <w:rsid w:val="002A757B"/>
    <w:rsid w:val="002A7D92"/>
    <w:rsid w:val="002B0A0E"/>
    <w:rsid w:val="002B3FAF"/>
    <w:rsid w:val="002B7A0E"/>
    <w:rsid w:val="002C06E4"/>
    <w:rsid w:val="002C2071"/>
    <w:rsid w:val="002C252B"/>
    <w:rsid w:val="002C25AF"/>
    <w:rsid w:val="002C2CD7"/>
    <w:rsid w:val="002C3C37"/>
    <w:rsid w:val="002D06E1"/>
    <w:rsid w:val="002D0B2B"/>
    <w:rsid w:val="002D21B1"/>
    <w:rsid w:val="002D2995"/>
    <w:rsid w:val="002D363D"/>
    <w:rsid w:val="002D6043"/>
    <w:rsid w:val="002D65B4"/>
    <w:rsid w:val="002E0A19"/>
    <w:rsid w:val="002E4A69"/>
    <w:rsid w:val="002E5E08"/>
    <w:rsid w:val="002F30F8"/>
    <w:rsid w:val="002F48AE"/>
    <w:rsid w:val="002F5992"/>
    <w:rsid w:val="002F5BCA"/>
    <w:rsid w:val="002F63B4"/>
    <w:rsid w:val="0030077E"/>
    <w:rsid w:val="003041F3"/>
    <w:rsid w:val="003102D3"/>
    <w:rsid w:val="00313339"/>
    <w:rsid w:val="00314FAA"/>
    <w:rsid w:val="0031667D"/>
    <w:rsid w:val="00317ACA"/>
    <w:rsid w:val="003201AD"/>
    <w:rsid w:val="003203DE"/>
    <w:rsid w:val="00323AFF"/>
    <w:rsid w:val="00326C8B"/>
    <w:rsid w:val="003271D1"/>
    <w:rsid w:val="0033237F"/>
    <w:rsid w:val="00332EDB"/>
    <w:rsid w:val="00333203"/>
    <w:rsid w:val="00340EF0"/>
    <w:rsid w:val="003446EE"/>
    <w:rsid w:val="003549A8"/>
    <w:rsid w:val="00356842"/>
    <w:rsid w:val="00364398"/>
    <w:rsid w:val="0036741A"/>
    <w:rsid w:val="00370A26"/>
    <w:rsid w:val="00375CA0"/>
    <w:rsid w:val="00375EE9"/>
    <w:rsid w:val="00376108"/>
    <w:rsid w:val="00377A81"/>
    <w:rsid w:val="00385BD1"/>
    <w:rsid w:val="003864CE"/>
    <w:rsid w:val="00390220"/>
    <w:rsid w:val="00392C1F"/>
    <w:rsid w:val="00397117"/>
    <w:rsid w:val="003A34A0"/>
    <w:rsid w:val="003A3A70"/>
    <w:rsid w:val="003A516B"/>
    <w:rsid w:val="003B121D"/>
    <w:rsid w:val="003B4282"/>
    <w:rsid w:val="003B47C8"/>
    <w:rsid w:val="003B4F2E"/>
    <w:rsid w:val="003B5859"/>
    <w:rsid w:val="003C10C1"/>
    <w:rsid w:val="003C1EB3"/>
    <w:rsid w:val="003C1FA2"/>
    <w:rsid w:val="003C1FC8"/>
    <w:rsid w:val="003C48D8"/>
    <w:rsid w:val="003C53E0"/>
    <w:rsid w:val="003C5CFA"/>
    <w:rsid w:val="003D036C"/>
    <w:rsid w:val="003D34AC"/>
    <w:rsid w:val="003D3BE5"/>
    <w:rsid w:val="003D64CE"/>
    <w:rsid w:val="003E04CB"/>
    <w:rsid w:val="003E2AD2"/>
    <w:rsid w:val="003E2B3A"/>
    <w:rsid w:val="003E426A"/>
    <w:rsid w:val="003E622F"/>
    <w:rsid w:val="003F0EBE"/>
    <w:rsid w:val="003F1B94"/>
    <w:rsid w:val="003F3E05"/>
    <w:rsid w:val="003F460D"/>
    <w:rsid w:val="003F61D4"/>
    <w:rsid w:val="0040035F"/>
    <w:rsid w:val="00407656"/>
    <w:rsid w:val="00407C6F"/>
    <w:rsid w:val="00410820"/>
    <w:rsid w:val="004111DC"/>
    <w:rsid w:val="00415C01"/>
    <w:rsid w:val="0042161F"/>
    <w:rsid w:val="004217EE"/>
    <w:rsid w:val="00423533"/>
    <w:rsid w:val="004236CE"/>
    <w:rsid w:val="0042528D"/>
    <w:rsid w:val="0042733A"/>
    <w:rsid w:val="0043000B"/>
    <w:rsid w:val="00430932"/>
    <w:rsid w:val="0043426C"/>
    <w:rsid w:val="00434DAF"/>
    <w:rsid w:val="0043779B"/>
    <w:rsid w:val="00440498"/>
    <w:rsid w:val="0044518F"/>
    <w:rsid w:val="00445ABC"/>
    <w:rsid w:val="0044634F"/>
    <w:rsid w:val="0044662C"/>
    <w:rsid w:val="0044787E"/>
    <w:rsid w:val="004505B7"/>
    <w:rsid w:val="00454254"/>
    <w:rsid w:val="00454CF9"/>
    <w:rsid w:val="004551AE"/>
    <w:rsid w:val="004552DA"/>
    <w:rsid w:val="00455A0E"/>
    <w:rsid w:val="004567E3"/>
    <w:rsid w:val="0046067F"/>
    <w:rsid w:val="00461467"/>
    <w:rsid w:val="00461A1B"/>
    <w:rsid w:val="00461E1F"/>
    <w:rsid w:val="00462696"/>
    <w:rsid w:val="00463D86"/>
    <w:rsid w:val="00464446"/>
    <w:rsid w:val="00466B26"/>
    <w:rsid w:val="0047126B"/>
    <w:rsid w:val="00471987"/>
    <w:rsid w:val="00472C18"/>
    <w:rsid w:val="00473DA4"/>
    <w:rsid w:val="0047603B"/>
    <w:rsid w:val="00477CC7"/>
    <w:rsid w:val="00480D8D"/>
    <w:rsid w:val="00482720"/>
    <w:rsid w:val="00482C1C"/>
    <w:rsid w:val="004838EA"/>
    <w:rsid w:val="0048611C"/>
    <w:rsid w:val="004878BC"/>
    <w:rsid w:val="00487E98"/>
    <w:rsid w:val="004944C8"/>
    <w:rsid w:val="00494CAA"/>
    <w:rsid w:val="004961EC"/>
    <w:rsid w:val="004962C2"/>
    <w:rsid w:val="004972DE"/>
    <w:rsid w:val="004A148B"/>
    <w:rsid w:val="004A2050"/>
    <w:rsid w:val="004A3170"/>
    <w:rsid w:val="004A62F6"/>
    <w:rsid w:val="004A6DA0"/>
    <w:rsid w:val="004A6FBC"/>
    <w:rsid w:val="004B0E06"/>
    <w:rsid w:val="004B490F"/>
    <w:rsid w:val="004B69A4"/>
    <w:rsid w:val="004B7D3E"/>
    <w:rsid w:val="004C09CF"/>
    <w:rsid w:val="004C0C3A"/>
    <w:rsid w:val="004C480D"/>
    <w:rsid w:val="004C5380"/>
    <w:rsid w:val="004D427F"/>
    <w:rsid w:val="004D4C8C"/>
    <w:rsid w:val="004D638F"/>
    <w:rsid w:val="004D6550"/>
    <w:rsid w:val="004E11CD"/>
    <w:rsid w:val="004E21C7"/>
    <w:rsid w:val="004E764D"/>
    <w:rsid w:val="004F1138"/>
    <w:rsid w:val="004F1B5D"/>
    <w:rsid w:val="004F1C5C"/>
    <w:rsid w:val="004F3826"/>
    <w:rsid w:val="004F3D53"/>
    <w:rsid w:val="004F3DF7"/>
    <w:rsid w:val="005017AC"/>
    <w:rsid w:val="0050475F"/>
    <w:rsid w:val="00506718"/>
    <w:rsid w:val="00507A09"/>
    <w:rsid w:val="005150FE"/>
    <w:rsid w:val="00516D2B"/>
    <w:rsid w:val="0052159A"/>
    <w:rsid w:val="00531140"/>
    <w:rsid w:val="00531701"/>
    <w:rsid w:val="00533608"/>
    <w:rsid w:val="00534686"/>
    <w:rsid w:val="00534954"/>
    <w:rsid w:val="00534CB4"/>
    <w:rsid w:val="005351C9"/>
    <w:rsid w:val="005352CF"/>
    <w:rsid w:val="00535316"/>
    <w:rsid w:val="0053629C"/>
    <w:rsid w:val="00537DEC"/>
    <w:rsid w:val="00540B4C"/>
    <w:rsid w:val="00542303"/>
    <w:rsid w:val="00544031"/>
    <w:rsid w:val="005466B9"/>
    <w:rsid w:val="00547B59"/>
    <w:rsid w:val="005501F5"/>
    <w:rsid w:val="0055568E"/>
    <w:rsid w:val="00555AB8"/>
    <w:rsid w:val="00555BDE"/>
    <w:rsid w:val="00556C89"/>
    <w:rsid w:val="00556DB6"/>
    <w:rsid w:val="005571EB"/>
    <w:rsid w:val="00565710"/>
    <w:rsid w:val="005673BE"/>
    <w:rsid w:val="00567BF4"/>
    <w:rsid w:val="00570F78"/>
    <w:rsid w:val="005760B7"/>
    <w:rsid w:val="00576B29"/>
    <w:rsid w:val="00576B44"/>
    <w:rsid w:val="00576FAD"/>
    <w:rsid w:val="00577119"/>
    <w:rsid w:val="00577655"/>
    <w:rsid w:val="00584EAB"/>
    <w:rsid w:val="005909A0"/>
    <w:rsid w:val="00591898"/>
    <w:rsid w:val="00594F36"/>
    <w:rsid w:val="005A1F34"/>
    <w:rsid w:val="005A40F5"/>
    <w:rsid w:val="005A4FBF"/>
    <w:rsid w:val="005A53AF"/>
    <w:rsid w:val="005A72FC"/>
    <w:rsid w:val="005B005D"/>
    <w:rsid w:val="005B04C4"/>
    <w:rsid w:val="005B104D"/>
    <w:rsid w:val="005B3592"/>
    <w:rsid w:val="005B3EE3"/>
    <w:rsid w:val="005B590F"/>
    <w:rsid w:val="005C0E12"/>
    <w:rsid w:val="005C1110"/>
    <w:rsid w:val="005C26FB"/>
    <w:rsid w:val="005C4EBE"/>
    <w:rsid w:val="005D6BF0"/>
    <w:rsid w:val="005E0F7D"/>
    <w:rsid w:val="005E1212"/>
    <w:rsid w:val="005E1C9C"/>
    <w:rsid w:val="005E305B"/>
    <w:rsid w:val="005E5D5E"/>
    <w:rsid w:val="005E60DB"/>
    <w:rsid w:val="005E62A9"/>
    <w:rsid w:val="005E757B"/>
    <w:rsid w:val="005F25BE"/>
    <w:rsid w:val="005F32A5"/>
    <w:rsid w:val="005F6531"/>
    <w:rsid w:val="006017D0"/>
    <w:rsid w:val="006065DA"/>
    <w:rsid w:val="00611573"/>
    <w:rsid w:val="00616D9A"/>
    <w:rsid w:val="00621842"/>
    <w:rsid w:val="00622A00"/>
    <w:rsid w:val="00622E88"/>
    <w:rsid w:val="00627011"/>
    <w:rsid w:val="0063079F"/>
    <w:rsid w:val="00631B6F"/>
    <w:rsid w:val="006331B6"/>
    <w:rsid w:val="006344D1"/>
    <w:rsid w:val="00634D94"/>
    <w:rsid w:val="00637E64"/>
    <w:rsid w:val="0064034F"/>
    <w:rsid w:val="00641328"/>
    <w:rsid w:val="00645F30"/>
    <w:rsid w:val="00646AF7"/>
    <w:rsid w:val="006520DC"/>
    <w:rsid w:val="00653A59"/>
    <w:rsid w:val="006557BF"/>
    <w:rsid w:val="00663F81"/>
    <w:rsid w:val="00667F2A"/>
    <w:rsid w:val="00671C1D"/>
    <w:rsid w:val="00671DEF"/>
    <w:rsid w:val="00672F39"/>
    <w:rsid w:val="006735F5"/>
    <w:rsid w:val="00674A98"/>
    <w:rsid w:val="00676801"/>
    <w:rsid w:val="006772F1"/>
    <w:rsid w:val="006800F0"/>
    <w:rsid w:val="00681B80"/>
    <w:rsid w:val="00683A8A"/>
    <w:rsid w:val="00684569"/>
    <w:rsid w:val="0068757A"/>
    <w:rsid w:val="00690BAA"/>
    <w:rsid w:val="006952B1"/>
    <w:rsid w:val="0069537B"/>
    <w:rsid w:val="006A1611"/>
    <w:rsid w:val="006A181F"/>
    <w:rsid w:val="006A76EA"/>
    <w:rsid w:val="006A7F75"/>
    <w:rsid w:val="006B2592"/>
    <w:rsid w:val="006B4B08"/>
    <w:rsid w:val="006B6B30"/>
    <w:rsid w:val="006B7D2B"/>
    <w:rsid w:val="006C4911"/>
    <w:rsid w:val="006D09D3"/>
    <w:rsid w:val="006D1832"/>
    <w:rsid w:val="006D1A91"/>
    <w:rsid w:val="006E13A2"/>
    <w:rsid w:val="006F50A1"/>
    <w:rsid w:val="006F51FA"/>
    <w:rsid w:val="006F68BC"/>
    <w:rsid w:val="006F6E4B"/>
    <w:rsid w:val="006F7C7C"/>
    <w:rsid w:val="006F7D91"/>
    <w:rsid w:val="00704849"/>
    <w:rsid w:val="00711F87"/>
    <w:rsid w:val="007135EB"/>
    <w:rsid w:val="0071371F"/>
    <w:rsid w:val="00715133"/>
    <w:rsid w:val="0071744C"/>
    <w:rsid w:val="00717719"/>
    <w:rsid w:val="00720BCF"/>
    <w:rsid w:val="0072144C"/>
    <w:rsid w:val="00721E65"/>
    <w:rsid w:val="00723BE1"/>
    <w:rsid w:val="00727687"/>
    <w:rsid w:val="007278C4"/>
    <w:rsid w:val="0073572D"/>
    <w:rsid w:val="007375BB"/>
    <w:rsid w:val="007411C9"/>
    <w:rsid w:val="00741B60"/>
    <w:rsid w:val="007420B2"/>
    <w:rsid w:val="007434A9"/>
    <w:rsid w:val="00746563"/>
    <w:rsid w:val="00747CB4"/>
    <w:rsid w:val="00747D2D"/>
    <w:rsid w:val="00752A73"/>
    <w:rsid w:val="0075582A"/>
    <w:rsid w:val="007558CD"/>
    <w:rsid w:val="00757A3D"/>
    <w:rsid w:val="00761091"/>
    <w:rsid w:val="00761926"/>
    <w:rsid w:val="007634A8"/>
    <w:rsid w:val="007639F3"/>
    <w:rsid w:val="00765046"/>
    <w:rsid w:val="0076523F"/>
    <w:rsid w:val="00765CCE"/>
    <w:rsid w:val="007721E1"/>
    <w:rsid w:val="00774B99"/>
    <w:rsid w:val="00775BD4"/>
    <w:rsid w:val="007761C1"/>
    <w:rsid w:val="00776DA4"/>
    <w:rsid w:val="007817B8"/>
    <w:rsid w:val="00784171"/>
    <w:rsid w:val="007868B1"/>
    <w:rsid w:val="00786E31"/>
    <w:rsid w:val="00790508"/>
    <w:rsid w:val="007921A3"/>
    <w:rsid w:val="00793034"/>
    <w:rsid w:val="00795577"/>
    <w:rsid w:val="0079649C"/>
    <w:rsid w:val="007A058E"/>
    <w:rsid w:val="007A3556"/>
    <w:rsid w:val="007A361B"/>
    <w:rsid w:val="007A3688"/>
    <w:rsid w:val="007A3914"/>
    <w:rsid w:val="007A4D68"/>
    <w:rsid w:val="007A540B"/>
    <w:rsid w:val="007A5DCB"/>
    <w:rsid w:val="007B72B7"/>
    <w:rsid w:val="007B7516"/>
    <w:rsid w:val="007C4D67"/>
    <w:rsid w:val="007D12F4"/>
    <w:rsid w:val="007D3772"/>
    <w:rsid w:val="007D43C3"/>
    <w:rsid w:val="007D74AD"/>
    <w:rsid w:val="007E0201"/>
    <w:rsid w:val="007E06A6"/>
    <w:rsid w:val="007E0A12"/>
    <w:rsid w:val="007E0E11"/>
    <w:rsid w:val="007E1AFA"/>
    <w:rsid w:val="007E2516"/>
    <w:rsid w:val="007E277A"/>
    <w:rsid w:val="007E720E"/>
    <w:rsid w:val="007E7D51"/>
    <w:rsid w:val="007F1645"/>
    <w:rsid w:val="007F17C6"/>
    <w:rsid w:val="007F5EF3"/>
    <w:rsid w:val="007F5F98"/>
    <w:rsid w:val="0080574C"/>
    <w:rsid w:val="008059DD"/>
    <w:rsid w:val="00810E8D"/>
    <w:rsid w:val="0081126E"/>
    <w:rsid w:val="00817198"/>
    <w:rsid w:val="0081720F"/>
    <w:rsid w:val="00817AFE"/>
    <w:rsid w:val="00822210"/>
    <w:rsid w:val="00824167"/>
    <w:rsid w:val="0082430F"/>
    <w:rsid w:val="00825682"/>
    <w:rsid w:val="00827994"/>
    <w:rsid w:val="0083180C"/>
    <w:rsid w:val="00834BB1"/>
    <w:rsid w:val="00843437"/>
    <w:rsid w:val="00847249"/>
    <w:rsid w:val="0084774A"/>
    <w:rsid w:val="00852A42"/>
    <w:rsid w:val="00852B9B"/>
    <w:rsid w:val="00852FC0"/>
    <w:rsid w:val="0085789A"/>
    <w:rsid w:val="00861682"/>
    <w:rsid w:val="008631FC"/>
    <w:rsid w:val="00866FAE"/>
    <w:rsid w:val="00873982"/>
    <w:rsid w:val="00876123"/>
    <w:rsid w:val="00881F71"/>
    <w:rsid w:val="00884B65"/>
    <w:rsid w:val="008873E1"/>
    <w:rsid w:val="00890D20"/>
    <w:rsid w:val="00894AB9"/>
    <w:rsid w:val="0089605A"/>
    <w:rsid w:val="008A1593"/>
    <w:rsid w:val="008A2CE1"/>
    <w:rsid w:val="008B06B2"/>
    <w:rsid w:val="008B16ED"/>
    <w:rsid w:val="008B4D63"/>
    <w:rsid w:val="008B50C1"/>
    <w:rsid w:val="008B743A"/>
    <w:rsid w:val="008B7930"/>
    <w:rsid w:val="008C1592"/>
    <w:rsid w:val="008C2F99"/>
    <w:rsid w:val="008C365D"/>
    <w:rsid w:val="008C6240"/>
    <w:rsid w:val="008C7C86"/>
    <w:rsid w:val="008D052E"/>
    <w:rsid w:val="008D0D23"/>
    <w:rsid w:val="008D108D"/>
    <w:rsid w:val="008D3F74"/>
    <w:rsid w:val="008D480A"/>
    <w:rsid w:val="008D4F18"/>
    <w:rsid w:val="008D6A61"/>
    <w:rsid w:val="008E02A2"/>
    <w:rsid w:val="008E134F"/>
    <w:rsid w:val="008E1D0D"/>
    <w:rsid w:val="008E52D8"/>
    <w:rsid w:val="008F07AD"/>
    <w:rsid w:val="008F2F5A"/>
    <w:rsid w:val="008F32BC"/>
    <w:rsid w:val="008F38B1"/>
    <w:rsid w:val="00900CBE"/>
    <w:rsid w:val="009054F6"/>
    <w:rsid w:val="009065DF"/>
    <w:rsid w:val="009068D1"/>
    <w:rsid w:val="0090734A"/>
    <w:rsid w:val="00910A28"/>
    <w:rsid w:val="00910CBF"/>
    <w:rsid w:val="009131D2"/>
    <w:rsid w:val="00913E5C"/>
    <w:rsid w:val="00921527"/>
    <w:rsid w:val="00923525"/>
    <w:rsid w:val="00926B4D"/>
    <w:rsid w:val="009273CB"/>
    <w:rsid w:val="00930476"/>
    <w:rsid w:val="00930E64"/>
    <w:rsid w:val="00931372"/>
    <w:rsid w:val="009315F5"/>
    <w:rsid w:val="00933935"/>
    <w:rsid w:val="009346A7"/>
    <w:rsid w:val="00935C33"/>
    <w:rsid w:val="009400C3"/>
    <w:rsid w:val="009461A0"/>
    <w:rsid w:val="0095081B"/>
    <w:rsid w:val="00951336"/>
    <w:rsid w:val="00952BCA"/>
    <w:rsid w:val="00960D9D"/>
    <w:rsid w:val="00960ED7"/>
    <w:rsid w:val="0096490B"/>
    <w:rsid w:val="00965D62"/>
    <w:rsid w:val="00966920"/>
    <w:rsid w:val="00967468"/>
    <w:rsid w:val="009712B5"/>
    <w:rsid w:val="00980648"/>
    <w:rsid w:val="00981107"/>
    <w:rsid w:val="00983100"/>
    <w:rsid w:val="00985F0A"/>
    <w:rsid w:val="0098665E"/>
    <w:rsid w:val="00986B7A"/>
    <w:rsid w:val="00991A7C"/>
    <w:rsid w:val="00992F7E"/>
    <w:rsid w:val="0099362F"/>
    <w:rsid w:val="00994DA5"/>
    <w:rsid w:val="00996C41"/>
    <w:rsid w:val="009A0548"/>
    <w:rsid w:val="009A0CB2"/>
    <w:rsid w:val="009A4673"/>
    <w:rsid w:val="009A47E5"/>
    <w:rsid w:val="009A699F"/>
    <w:rsid w:val="009A6F58"/>
    <w:rsid w:val="009B0185"/>
    <w:rsid w:val="009B1123"/>
    <w:rsid w:val="009B1810"/>
    <w:rsid w:val="009B1A9D"/>
    <w:rsid w:val="009B3BDB"/>
    <w:rsid w:val="009B3C7B"/>
    <w:rsid w:val="009B450A"/>
    <w:rsid w:val="009B4EDD"/>
    <w:rsid w:val="009B54A8"/>
    <w:rsid w:val="009C3E2F"/>
    <w:rsid w:val="009C42C2"/>
    <w:rsid w:val="009C4463"/>
    <w:rsid w:val="009C5336"/>
    <w:rsid w:val="009C5715"/>
    <w:rsid w:val="009D3432"/>
    <w:rsid w:val="009D3DCF"/>
    <w:rsid w:val="009D6B69"/>
    <w:rsid w:val="009E04FD"/>
    <w:rsid w:val="009E1F7F"/>
    <w:rsid w:val="009F0CBC"/>
    <w:rsid w:val="009F2468"/>
    <w:rsid w:val="009F399A"/>
    <w:rsid w:val="009F45D1"/>
    <w:rsid w:val="009F5D2A"/>
    <w:rsid w:val="009F6AA6"/>
    <w:rsid w:val="00A017FF"/>
    <w:rsid w:val="00A025B3"/>
    <w:rsid w:val="00A03102"/>
    <w:rsid w:val="00A07242"/>
    <w:rsid w:val="00A07E1C"/>
    <w:rsid w:val="00A11C9A"/>
    <w:rsid w:val="00A11FB6"/>
    <w:rsid w:val="00A12C37"/>
    <w:rsid w:val="00A2047F"/>
    <w:rsid w:val="00A20FDC"/>
    <w:rsid w:val="00A22A53"/>
    <w:rsid w:val="00A26C6D"/>
    <w:rsid w:val="00A2732E"/>
    <w:rsid w:val="00A27555"/>
    <w:rsid w:val="00A27E56"/>
    <w:rsid w:val="00A31749"/>
    <w:rsid w:val="00A3308F"/>
    <w:rsid w:val="00A34C27"/>
    <w:rsid w:val="00A3703D"/>
    <w:rsid w:val="00A41649"/>
    <w:rsid w:val="00A45020"/>
    <w:rsid w:val="00A452E3"/>
    <w:rsid w:val="00A479D8"/>
    <w:rsid w:val="00A47C72"/>
    <w:rsid w:val="00A50848"/>
    <w:rsid w:val="00A527C3"/>
    <w:rsid w:val="00A611E3"/>
    <w:rsid w:val="00A71EB1"/>
    <w:rsid w:val="00A72835"/>
    <w:rsid w:val="00A73B29"/>
    <w:rsid w:val="00A75BE5"/>
    <w:rsid w:val="00A76902"/>
    <w:rsid w:val="00A76BAF"/>
    <w:rsid w:val="00A7762F"/>
    <w:rsid w:val="00A77665"/>
    <w:rsid w:val="00A80C6D"/>
    <w:rsid w:val="00A8259E"/>
    <w:rsid w:val="00A842BB"/>
    <w:rsid w:val="00A86A8F"/>
    <w:rsid w:val="00A8799B"/>
    <w:rsid w:val="00A93C79"/>
    <w:rsid w:val="00A93E60"/>
    <w:rsid w:val="00A95A51"/>
    <w:rsid w:val="00AA36E5"/>
    <w:rsid w:val="00AA3CDE"/>
    <w:rsid w:val="00AA4BB7"/>
    <w:rsid w:val="00AA62CA"/>
    <w:rsid w:val="00AA643A"/>
    <w:rsid w:val="00AB1B3C"/>
    <w:rsid w:val="00AB30E2"/>
    <w:rsid w:val="00AB5AA1"/>
    <w:rsid w:val="00AB7A9A"/>
    <w:rsid w:val="00AC5987"/>
    <w:rsid w:val="00AC6BBC"/>
    <w:rsid w:val="00AC7528"/>
    <w:rsid w:val="00AD184E"/>
    <w:rsid w:val="00AD30B1"/>
    <w:rsid w:val="00AD3451"/>
    <w:rsid w:val="00AD5634"/>
    <w:rsid w:val="00AE1B00"/>
    <w:rsid w:val="00AE3185"/>
    <w:rsid w:val="00AE4C8F"/>
    <w:rsid w:val="00AF0178"/>
    <w:rsid w:val="00AF2CFB"/>
    <w:rsid w:val="00AF457A"/>
    <w:rsid w:val="00AF4F51"/>
    <w:rsid w:val="00AF778A"/>
    <w:rsid w:val="00B00197"/>
    <w:rsid w:val="00B00958"/>
    <w:rsid w:val="00B02E99"/>
    <w:rsid w:val="00B04E3B"/>
    <w:rsid w:val="00B1036F"/>
    <w:rsid w:val="00B10699"/>
    <w:rsid w:val="00B12F76"/>
    <w:rsid w:val="00B149F4"/>
    <w:rsid w:val="00B17B3D"/>
    <w:rsid w:val="00B17CFB"/>
    <w:rsid w:val="00B20C2F"/>
    <w:rsid w:val="00B22253"/>
    <w:rsid w:val="00B30264"/>
    <w:rsid w:val="00B31D27"/>
    <w:rsid w:val="00B35A10"/>
    <w:rsid w:val="00B36434"/>
    <w:rsid w:val="00B40A02"/>
    <w:rsid w:val="00B46C72"/>
    <w:rsid w:val="00B5060A"/>
    <w:rsid w:val="00B50872"/>
    <w:rsid w:val="00B50916"/>
    <w:rsid w:val="00B52B1F"/>
    <w:rsid w:val="00B6544D"/>
    <w:rsid w:val="00B65BE5"/>
    <w:rsid w:val="00B66008"/>
    <w:rsid w:val="00B674D0"/>
    <w:rsid w:val="00B678E6"/>
    <w:rsid w:val="00B71138"/>
    <w:rsid w:val="00B71746"/>
    <w:rsid w:val="00B7369A"/>
    <w:rsid w:val="00B75D0F"/>
    <w:rsid w:val="00B77DBF"/>
    <w:rsid w:val="00B81A1A"/>
    <w:rsid w:val="00B86256"/>
    <w:rsid w:val="00B87629"/>
    <w:rsid w:val="00B906AC"/>
    <w:rsid w:val="00B91D54"/>
    <w:rsid w:val="00B92A30"/>
    <w:rsid w:val="00B94C05"/>
    <w:rsid w:val="00B9505D"/>
    <w:rsid w:val="00B95CD5"/>
    <w:rsid w:val="00B968D8"/>
    <w:rsid w:val="00BA1A63"/>
    <w:rsid w:val="00BA79BF"/>
    <w:rsid w:val="00BB3138"/>
    <w:rsid w:val="00BB3549"/>
    <w:rsid w:val="00BB3C11"/>
    <w:rsid w:val="00BB5567"/>
    <w:rsid w:val="00BB6232"/>
    <w:rsid w:val="00BB7BAA"/>
    <w:rsid w:val="00BC0CB3"/>
    <w:rsid w:val="00BC2266"/>
    <w:rsid w:val="00BC2E5F"/>
    <w:rsid w:val="00BC5278"/>
    <w:rsid w:val="00BC5E38"/>
    <w:rsid w:val="00BC654E"/>
    <w:rsid w:val="00BD0A3C"/>
    <w:rsid w:val="00BD5CB4"/>
    <w:rsid w:val="00BD5ECC"/>
    <w:rsid w:val="00BD6BF4"/>
    <w:rsid w:val="00BD7C93"/>
    <w:rsid w:val="00BD7D69"/>
    <w:rsid w:val="00BE2973"/>
    <w:rsid w:val="00BE76FF"/>
    <w:rsid w:val="00BF22BB"/>
    <w:rsid w:val="00BF6CD9"/>
    <w:rsid w:val="00C04D6D"/>
    <w:rsid w:val="00C05349"/>
    <w:rsid w:val="00C06EB9"/>
    <w:rsid w:val="00C07EBB"/>
    <w:rsid w:val="00C128BC"/>
    <w:rsid w:val="00C1402F"/>
    <w:rsid w:val="00C14674"/>
    <w:rsid w:val="00C15A88"/>
    <w:rsid w:val="00C16833"/>
    <w:rsid w:val="00C17A93"/>
    <w:rsid w:val="00C2102F"/>
    <w:rsid w:val="00C21E5A"/>
    <w:rsid w:val="00C26929"/>
    <w:rsid w:val="00C3059E"/>
    <w:rsid w:val="00C33EB0"/>
    <w:rsid w:val="00C41202"/>
    <w:rsid w:val="00C43AB8"/>
    <w:rsid w:val="00C44DEC"/>
    <w:rsid w:val="00C500A2"/>
    <w:rsid w:val="00C5055A"/>
    <w:rsid w:val="00C50C5F"/>
    <w:rsid w:val="00C51FCE"/>
    <w:rsid w:val="00C52362"/>
    <w:rsid w:val="00C53ED3"/>
    <w:rsid w:val="00C55167"/>
    <w:rsid w:val="00C556F9"/>
    <w:rsid w:val="00C614DB"/>
    <w:rsid w:val="00C6167F"/>
    <w:rsid w:val="00C63645"/>
    <w:rsid w:val="00C67650"/>
    <w:rsid w:val="00C7086F"/>
    <w:rsid w:val="00C71084"/>
    <w:rsid w:val="00C7125E"/>
    <w:rsid w:val="00C72234"/>
    <w:rsid w:val="00C72A58"/>
    <w:rsid w:val="00C733DF"/>
    <w:rsid w:val="00C75F69"/>
    <w:rsid w:val="00C76365"/>
    <w:rsid w:val="00C827B5"/>
    <w:rsid w:val="00C86528"/>
    <w:rsid w:val="00C873C3"/>
    <w:rsid w:val="00C9000B"/>
    <w:rsid w:val="00C90ADF"/>
    <w:rsid w:val="00C91230"/>
    <w:rsid w:val="00C9259A"/>
    <w:rsid w:val="00CA045F"/>
    <w:rsid w:val="00CA0836"/>
    <w:rsid w:val="00CA0D16"/>
    <w:rsid w:val="00CA35A9"/>
    <w:rsid w:val="00CA6555"/>
    <w:rsid w:val="00CA7DCD"/>
    <w:rsid w:val="00CA7FC2"/>
    <w:rsid w:val="00CB0863"/>
    <w:rsid w:val="00CB0A5C"/>
    <w:rsid w:val="00CB16A2"/>
    <w:rsid w:val="00CB1855"/>
    <w:rsid w:val="00CB399A"/>
    <w:rsid w:val="00CB3DA9"/>
    <w:rsid w:val="00CB4160"/>
    <w:rsid w:val="00CC2066"/>
    <w:rsid w:val="00CC733F"/>
    <w:rsid w:val="00CC784B"/>
    <w:rsid w:val="00CD0768"/>
    <w:rsid w:val="00CD0852"/>
    <w:rsid w:val="00CD08F1"/>
    <w:rsid w:val="00CD1195"/>
    <w:rsid w:val="00CD1A4E"/>
    <w:rsid w:val="00CD20E7"/>
    <w:rsid w:val="00CD3894"/>
    <w:rsid w:val="00CD73DE"/>
    <w:rsid w:val="00CE0B6D"/>
    <w:rsid w:val="00CE2050"/>
    <w:rsid w:val="00CE36CA"/>
    <w:rsid w:val="00CF3553"/>
    <w:rsid w:val="00CF4182"/>
    <w:rsid w:val="00CF5A9D"/>
    <w:rsid w:val="00CF5C6C"/>
    <w:rsid w:val="00CF5EB0"/>
    <w:rsid w:val="00CF6021"/>
    <w:rsid w:val="00CF7457"/>
    <w:rsid w:val="00CF7C15"/>
    <w:rsid w:val="00D0450E"/>
    <w:rsid w:val="00D05864"/>
    <w:rsid w:val="00D07621"/>
    <w:rsid w:val="00D12E80"/>
    <w:rsid w:val="00D142E2"/>
    <w:rsid w:val="00D15438"/>
    <w:rsid w:val="00D156AE"/>
    <w:rsid w:val="00D17324"/>
    <w:rsid w:val="00D17A16"/>
    <w:rsid w:val="00D20E4F"/>
    <w:rsid w:val="00D23840"/>
    <w:rsid w:val="00D264AE"/>
    <w:rsid w:val="00D27C86"/>
    <w:rsid w:val="00D30ECA"/>
    <w:rsid w:val="00D3107B"/>
    <w:rsid w:val="00D34CE2"/>
    <w:rsid w:val="00D403F6"/>
    <w:rsid w:val="00D40864"/>
    <w:rsid w:val="00D43ADE"/>
    <w:rsid w:val="00D4415B"/>
    <w:rsid w:val="00D4416C"/>
    <w:rsid w:val="00D451BF"/>
    <w:rsid w:val="00D47E14"/>
    <w:rsid w:val="00D52933"/>
    <w:rsid w:val="00D54A08"/>
    <w:rsid w:val="00D6117C"/>
    <w:rsid w:val="00D61FEA"/>
    <w:rsid w:val="00D65C57"/>
    <w:rsid w:val="00D6678B"/>
    <w:rsid w:val="00D66B48"/>
    <w:rsid w:val="00D71467"/>
    <w:rsid w:val="00D71CAA"/>
    <w:rsid w:val="00D71D4E"/>
    <w:rsid w:val="00D73D49"/>
    <w:rsid w:val="00D753C2"/>
    <w:rsid w:val="00D76439"/>
    <w:rsid w:val="00D7669B"/>
    <w:rsid w:val="00D82232"/>
    <w:rsid w:val="00D87533"/>
    <w:rsid w:val="00D9017A"/>
    <w:rsid w:val="00DA0456"/>
    <w:rsid w:val="00DA0882"/>
    <w:rsid w:val="00DA2711"/>
    <w:rsid w:val="00DA2757"/>
    <w:rsid w:val="00DA30D0"/>
    <w:rsid w:val="00DA3B3A"/>
    <w:rsid w:val="00DB1060"/>
    <w:rsid w:val="00DB23F0"/>
    <w:rsid w:val="00DB29C2"/>
    <w:rsid w:val="00DB390C"/>
    <w:rsid w:val="00DB4478"/>
    <w:rsid w:val="00DB60C1"/>
    <w:rsid w:val="00DB6DD6"/>
    <w:rsid w:val="00DB7C96"/>
    <w:rsid w:val="00DC0011"/>
    <w:rsid w:val="00DC0B23"/>
    <w:rsid w:val="00DC433F"/>
    <w:rsid w:val="00DC48E4"/>
    <w:rsid w:val="00DD240F"/>
    <w:rsid w:val="00DD2A43"/>
    <w:rsid w:val="00DD2B56"/>
    <w:rsid w:val="00DD50CC"/>
    <w:rsid w:val="00DD5339"/>
    <w:rsid w:val="00DD69E1"/>
    <w:rsid w:val="00DD6FEC"/>
    <w:rsid w:val="00DE409E"/>
    <w:rsid w:val="00DE4236"/>
    <w:rsid w:val="00DE5BEC"/>
    <w:rsid w:val="00DE7028"/>
    <w:rsid w:val="00DF0B57"/>
    <w:rsid w:val="00DF487C"/>
    <w:rsid w:val="00DF7250"/>
    <w:rsid w:val="00DF7525"/>
    <w:rsid w:val="00DF77A8"/>
    <w:rsid w:val="00E01D70"/>
    <w:rsid w:val="00E02D3C"/>
    <w:rsid w:val="00E02E42"/>
    <w:rsid w:val="00E065C0"/>
    <w:rsid w:val="00E06BAC"/>
    <w:rsid w:val="00E06F58"/>
    <w:rsid w:val="00E07D74"/>
    <w:rsid w:val="00E1589A"/>
    <w:rsid w:val="00E20E4F"/>
    <w:rsid w:val="00E230F5"/>
    <w:rsid w:val="00E24865"/>
    <w:rsid w:val="00E24A41"/>
    <w:rsid w:val="00E24C9E"/>
    <w:rsid w:val="00E267E0"/>
    <w:rsid w:val="00E26A5D"/>
    <w:rsid w:val="00E26B20"/>
    <w:rsid w:val="00E27A5E"/>
    <w:rsid w:val="00E35CC8"/>
    <w:rsid w:val="00E376E7"/>
    <w:rsid w:val="00E42A55"/>
    <w:rsid w:val="00E43C76"/>
    <w:rsid w:val="00E4625A"/>
    <w:rsid w:val="00E5066E"/>
    <w:rsid w:val="00E51291"/>
    <w:rsid w:val="00E5269D"/>
    <w:rsid w:val="00E53764"/>
    <w:rsid w:val="00E53FB9"/>
    <w:rsid w:val="00E57FB5"/>
    <w:rsid w:val="00E603C4"/>
    <w:rsid w:val="00E60D31"/>
    <w:rsid w:val="00E63359"/>
    <w:rsid w:val="00E64BA0"/>
    <w:rsid w:val="00E65177"/>
    <w:rsid w:val="00E65921"/>
    <w:rsid w:val="00E71C7F"/>
    <w:rsid w:val="00E7525F"/>
    <w:rsid w:val="00E77D03"/>
    <w:rsid w:val="00E87703"/>
    <w:rsid w:val="00E927FB"/>
    <w:rsid w:val="00E94923"/>
    <w:rsid w:val="00E94BA7"/>
    <w:rsid w:val="00E957BC"/>
    <w:rsid w:val="00E96C45"/>
    <w:rsid w:val="00EA16A3"/>
    <w:rsid w:val="00EA221E"/>
    <w:rsid w:val="00EA2ED4"/>
    <w:rsid w:val="00EA30D4"/>
    <w:rsid w:val="00EA37C7"/>
    <w:rsid w:val="00EA46A5"/>
    <w:rsid w:val="00EB6A59"/>
    <w:rsid w:val="00EC0051"/>
    <w:rsid w:val="00EC3D3C"/>
    <w:rsid w:val="00EC5AA7"/>
    <w:rsid w:val="00ED0BE9"/>
    <w:rsid w:val="00ED367A"/>
    <w:rsid w:val="00ED75A6"/>
    <w:rsid w:val="00ED75EF"/>
    <w:rsid w:val="00EE0DE8"/>
    <w:rsid w:val="00EE1434"/>
    <w:rsid w:val="00EE6FDE"/>
    <w:rsid w:val="00EF05B7"/>
    <w:rsid w:val="00EF2B8C"/>
    <w:rsid w:val="00EF7FE9"/>
    <w:rsid w:val="00F0024E"/>
    <w:rsid w:val="00F051D9"/>
    <w:rsid w:val="00F05BC7"/>
    <w:rsid w:val="00F10BF3"/>
    <w:rsid w:val="00F115D3"/>
    <w:rsid w:val="00F127FD"/>
    <w:rsid w:val="00F13A31"/>
    <w:rsid w:val="00F213B2"/>
    <w:rsid w:val="00F22F0F"/>
    <w:rsid w:val="00F243A6"/>
    <w:rsid w:val="00F24492"/>
    <w:rsid w:val="00F247CC"/>
    <w:rsid w:val="00F30743"/>
    <w:rsid w:val="00F361F9"/>
    <w:rsid w:val="00F40224"/>
    <w:rsid w:val="00F41F07"/>
    <w:rsid w:val="00F43B79"/>
    <w:rsid w:val="00F450BB"/>
    <w:rsid w:val="00F4553B"/>
    <w:rsid w:val="00F47FF2"/>
    <w:rsid w:val="00F51ED0"/>
    <w:rsid w:val="00F544F8"/>
    <w:rsid w:val="00F54E2C"/>
    <w:rsid w:val="00F60334"/>
    <w:rsid w:val="00F61118"/>
    <w:rsid w:val="00F66653"/>
    <w:rsid w:val="00F66C7E"/>
    <w:rsid w:val="00F7311B"/>
    <w:rsid w:val="00F76221"/>
    <w:rsid w:val="00F76D4E"/>
    <w:rsid w:val="00F7783F"/>
    <w:rsid w:val="00F80EFB"/>
    <w:rsid w:val="00F92946"/>
    <w:rsid w:val="00F95281"/>
    <w:rsid w:val="00F95F40"/>
    <w:rsid w:val="00F97016"/>
    <w:rsid w:val="00F97832"/>
    <w:rsid w:val="00FA54B6"/>
    <w:rsid w:val="00FA6267"/>
    <w:rsid w:val="00FB35DE"/>
    <w:rsid w:val="00FB3DA8"/>
    <w:rsid w:val="00FB6D3B"/>
    <w:rsid w:val="00FB6D3D"/>
    <w:rsid w:val="00FC554A"/>
    <w:rsid w:val="00FC5F5C"/>
    <w:rsid w:val="00FC7969"/>
    <w:rsid w:val="00FD2CCD"/>
    <w:rsid w:val="00FD3E91"/>
    <w:rsid w:val="00FD415B"/>
    <w:rsid w:val="00FD5F81"/>
    <w:rsid w:val="00FD72CC"/>
    <w:rsid w:val="00FD79D4"/>
    <w:rsid w:val="00FD7B51"/>
    <w:rsid w:val="00FE0FCE"/>
    <w:rsid w:val="00FE13F5"/>
    <w:rsid w:val="00FE1F3B"/>
    <w:rsid w:val="00FE3BBC"/>
    <w:rsid w:val="00FE4A38"/>
    <w:rsid w:val="00FE63C1"/>
    <w:rsid w:val="00FF2B65"/>
    <w:rsid w:val="00FF2C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297733-B733-480E-941E-D0F0B749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BibliographyChar">
    <w:name w:val="EndNote Bibliography Char"/>
    <w:basedOn w:val="DefaultParagraphFont"/>
    <w:link w:val="EndNoteBibliography"/>
    <w:qFormat/>
    <w:rsid w:val="00A07E1C"/>
    <w:rPr>
      <w:rFonts w:ascii="Calibri" w:hAnsi="Calibri" w:cs="Times New Roman"/>
      <w:color w:val="00000A"/>
    </w:rPr>
  </w:style>
  <w:style w:type="paragraph" w:customStyle="1" w:styleId="EndNoteBibliography">
    <w:name w:val="EndNote Bibliography"/>
    <w:basedOn w:val="Normal"/>
    <w:link w:val="EndNoteBibliographyChar"/>
    <w:qFormat/>
    <w:rsid w:val="00A07E1C"/>
    <w:pPr>
      <w:spacing w:after="200" w:line="240" w:lineRule="auto"/>
    </w:pPr>
    <w:rPr>
      <w:rFonts w:ascii="Calibri" w:hAnsi="Calibri" w:cs="Times New Roman"/>
      <w:color w:val="00000A"/>
    </w:rPr>
  </w:style>
  <w:style w:type="character" w:styleId="Hyperlink">
    <w:name w:val="Hyperlink"/>
    <w:basedOn w:val="DefaultParagraphFont"/>
    <w:uiPriority w:val="99"/>
    <w:unhideWhenUsed/>
    <w:rsid w:val="00092EDF"/>
    <w:rPr>
      <w:color w:val="0563C1" w:themeColor="hyperlink"/>
      <w:u w:val="single"/>
    </w:rPr>
  </w:style>
  <w:style w:type="paragraph" w:styleId="Header">
    <w:name w:val="header"/>
    <w:basedOn w:val="Normal"/>
    <w:link w:val="HeaderChar"/>
    <w:uiPriority w:val="99"/>
    <w:unhideWhenUsed/>
    <w:rsid w:val="00E20E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0E4F"/>
  </w:style>
  <w:style w:type="paragraph" w:styleId="Footer">
    <w:name w:val="footer"/>
    <w:basedOn w:val="Normal"/>
    <w:link w:val="FooterChar"/>
    <w:uiPriority w:val="99"/>
    <w:unhideWhenUsed/>
    <w:rsid w:val="00E20E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0E4F"/>
  </w:style>
  <w:style w:type="paragraph" w:styleId="ListParagraph">
    <w:name w:val="List Paragraph"/>
    <w:basedOn w:val="Normal"/>
    <w:uiPriority w:val="34"/>
    <w:qFormat/>
    <w:rsid w:val="00AB30E2"/>
    <w:pPr>
      <w:ind w:left="720"/>
      <w:contextualSpacing/>
    </w:pPr>
  </w:style>
  <w:style w:type="character" w:styleId="FollowedHyperlink">
    <w:name w:val="FollowedHyperlink"/>
    <w:basedOn w:val="DefaultParagraphFont"/>
    <w:uiPriority w:val="99"/>
    <w:semiHidden/>
    <w:unhideWhenUsed/>
    <w:rsid w:val="00333203"/>
    <w:rPr>
      <w:color w:val="954F72" w:themeColor="followedHyperlink"/>
      <w:u w:val="single"/>
    </w:rPr>
  </w:style>
  <w:style w:type="table" w:styleId="PlainTable2">
    <w:name w:val="Plain Table 2"/>
    <w:basedOn w:val="TableNormal"/>
    <w:uiPriority w:val="42"/>
    <w:rsid w:val="008B50C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02824">
      <w:bodyDiv w:val="1"/>
      <w:marLeft w:val="0"/>
      <w:marRight w:val="0"/>
      <w:marTop w:val="0"/>
      <w:marBottom w:val="0"/>
      <w:divBdr>
        <w:top w:val="none" w:sz="0" w:space="0" w:color="auto"/>
        <w:left w:val="none" w:sz="0" w:space="0" w:color="auto"/>
        <w:bottom w:val="none" w:sz="0" w:space="0" w:color="auto"/>
        <w:right w:val="none" w:sz="0" w:space="0" w:color="auto"/>
      </w:divBdr>
    </w:div>
    <w:div w:id="181357267">
      <w:bodyDiv w:val="1"/>
      <w:marLeft w:val="0"/>
      <w:marRight w:val="0"/>
      <w:marTop w:val="0"/>
      <w:marBottom w:val="0"/>
      <w:divBdr>
        <w:top w:val="none" w:sz="0" w:space="0" w:color="auto"/>
        <w:left w:val="none" w:sz="0" w:space="0" w:color="auto"/>
        <w:bottom w:val="none" w:sz="0" w:space="0" w:color="auto"/>
        <w:right w:val="none" w:sz="0" w:space="0" w:color="auto"/>
      </w:divBdr>
    </w:div>
    <w:div w:id="221839416">
      <w:bodyDiv w:val="1"/>
      <w:marLeft w:val="0"/>
      <w:marRight w:val="0"/>
      <w:marTop w:val="0"/>
      <w:marBottom w:val="0"/>
      <w:divBdr>
        <w:top w:val="none" w:sz="0" w:space="0" w:color="auto"/>
        <w:left w:val="none" w:sz="0" w:space="0" w:color="auto"/>
        <w:bottom w:val="none" w:sz="0" w:space="0" w:color="auto"/>
        <w:right w:val="none" w:sz="0" w:space="0" w:color="auto"/>
      </w:divBdr>
    </w:div>
    <w:div w:id="469517487">
      <w:bodyDiv w:val="1"/>
      <w:marLeft w:val="0"/>
      <w:marRight w:val="0"/>
      <w:marTop w:val="0"/>
      <w:marBottom w:val="0"/>
      <w:divBdr>
        <w:top w:val="none" w:sz="0" w:space="0" w:color="auto"/>
        <w:left w:val="none" w:sz="0" w:space="0" w:color="auto"/>
        <w:bottom w:val="none" w:sz="0" w:space="0" w:color="auto"/>
        <w:right w:val="none" w:sz="0" w:space="0" w:color="auto"/>
      </w:divBdr>
    </w:div>
    <w:div w:id="668142651">
      <w:bodyDiv w:val="1"/>
      <w:marLeft w:val="0"/>
      <w:marRight w:val="0"/>
      <w:marTop w:val="0"/>
      <w:marBottom w:val="0"/>
      <w:divBdr>
        <w:top w:val="none" w:sz="0" w:space="0" w:color="auto"/>
        <w:left w:val="none" w:sz="0" w:space="0" w:color="auto"/>
        <w:bottom w:val="none" w:sz="0" w:space="0" w:color="auto"/>
        <w:right w:val="none" w:sz="0" w:space="0" w:color="auto"/>
      </w:divBdr>
    </w:div>
    <w:div w:id="692263780">
      <w:bodyDiv w:val="1"/>
      <w:marLeft w:val="0"/>
      <w:marRight w:val="0"/>
      <w:marTop w:val="0"/>
      <w:marBottom w:val="0"/>
      <w:divBdr>
        <w:top w:val="none" w:sz="0" w:space="0" w:color="auto"/>
        <w:left w:val="none" w:sz="0" w:space="0" w:color="auto"/>
        <w:bottom w:val="none" w:sz="0" w:space="0" w:color="auto"/>
        <w:right w:val="none" w:sz="0" w:space="0" w:color="auto"/>
      </w:divBdr>
    </w:div>
    <w:div w:id="773479209">
      <w:bodyDiv w:val="1"/>
      <w:marLeft w:val="0"/>
      <w:marRight w:val="0"/>
      <w:marTop w:val="0"/>
      <w:marBottom w:val="0"/>
      <w:divBdr>
        <w:top w:val="none" w:sz="0" w:space="0" w:color="auto"/>
        <w:left w:val="none" w:sz="0" w:space="0" w:color="auto"/>
        <w:bottom w:val="none" w:sz="0" w:space="0" w:color="auto"/>
        <w:right w:val="none" w:sz="0" w:space="0" w:color="auto"/>
      </w:divBdr>
    </w:div>
    <w:div w:id="802315009">
      <w:bodyDiv w:val="1"/>
      <w:marLeft w:val="0"/>
      <w:marRight w:val="0"/>
      <w:marTop w:val="0"/>
      <w:marBottom w:val="0"/>
      <w:divBdr>
        <w:top w:val="none" w:sz="0" w:space="0" w:color="auto"/>
        <w:left w:val="none" w:sz="0" w:space="0" w:color="auto"/>
        <w:bottom w:val="none" w:sz="0" w:space="0" w:color="auto"/>
        <w:right w:val="none" w:sz="0" w:space="0" w:color="auto"/>
      </w:divBdr>
    </w:div>
    <w:div w:id="1080565410">
      <w:bodyDiv w:val="1"/>
      <w:marLeft w:val="0"/>
      <w:marRight w:val="0"/>
      <w:marTop w:val="0"/>
      <w:marBottom w:val="0"/>
      <w:divBdr>
        <w:top w:val="none" w:sz="0" w:space="0" w:color="auto"/>
        <w:left w:val="none" w:sz="0" w:space="0" w:color="auto"/>
        <w:bottom w:val="none" w:sz="0" w:space="0" w:color="auto"/>
        <w:right w:val="none" w:sz="0" w:space="0" w:color="auto"/>
      </w:divBdr>
    </w:div>
    <w:div w:id="1180270494">
      <w:bodyDiv w:val="1"/>
      <w:marLeft w:val="0"/>
      <w:marRight w:val="0"/>
      <w:marTop w:val="0"/>
      <w:marBottom w:val="0"/>
      <w:divBdr>
        <w:top w:val="none" w:sz="0" w:space="0" w:color="auto"/>
        <w:left w:val="none" w:sz="0" w:space="0" w:color="auto"/>
        <w:bottom w:val="none" w:sz="0" w:space="0" w:color="auto"/>
        <w:right w:val="none" w:sz="0" w:space="0" w:color="auto"/>
      </w:divBdr>
    </w:div>
    <w:div w:id="1207377512">
      <w:bodyDiv w:val="1"/>
      <w:marLeft w:val="0"/>
      <w:marRight w:val="0"/>
      <w:marTop w:val="0"/>
      <w:marBottom w:val="0"/>
      <w:divBdr>
        <w:top w:val="none" w:sz="0" w:space="0" w:color="auto"/>
        <w:left w:val="none" w:sz="0" w:space="0" w:color="auto"/>
        <w:bottom w:val="none" w:sz="0" w:space="0" w:color="auto"/>
        <w:right w:val="none" w:sz="0" w:space="0" w:color="auto"/>
      </w:divBdr>
    </w:div>
    <w:div w:id="1305812296">
      <w:bodyDiv w:val="1"/>
      <w:marLeft w:val="0"/>
      <w:marRight w:val="0"/>
      <w:marTop w:val="0"/>
      <w:marBottom w:val="0"/>
      <w:divBdr>
        <w:top w:val="none" w:sz="0" w:space="0" w:color="auto"/>
        <w:left w:val="none" w:sz="0" w:space="0" w:color="auto"/>
        <w:bottom w:val="none" w:sz="0" w:space="0" w:color="auto"/>
        <w:right w:val="none" w:sz="0" w:space="0" w:color="auto"/>
      </w:divBdr>
    </w:div>
    <w:div w:id="1405684191">
      <w:bodyDiv w:val="1"/>
      <w:marLeft w:val="0"/>
      <w:marRight w:val="0"/>
      <w:marTop w:val="0"/>
      <w:marBottom w:val="0"/>
      <w:divBdr>
        <w:top w:val="none" w:sz="0" w:space="0" w:color="auto"/>
        <w:left w:val="none" w:sz="0" w:space="0" w:color="auto"/>
        <w:bottom w:val="none" w:sz="0" w:space="0" w:color="auto"/>
        <w:right w:val="none" w:sz="0" w:space="0" w:color="auto"/>
      </w:divBdr>
    </w:div>
    <w:div w:id="1465002973">
      <w:bodyDiv w:val="1"/>
      <w:marLeft w:val="0"/>
      <w:marRight w:val="0"/>
      <w:marTop w:val="0"/>
      <w:marBottom w:val="0"/>
      <w:divBdr>
        <w:top w:val="none" w:sz="0" w:space="0" w:color="auto"/>
        <w:left w:val="none" w:sz="0" w:space="0" w:color="auto"/>
        <w:bottom w:val="none" w:sz="0" w:space="0" w:color="auto"/>
        <w:right w:val="none" w:sz="0" w:space="0" w:color="auto"/>
      </w:divBdr>
    </w:div>
    <w:div w:id="1539735022">
      <w:bodyDiv w:val="1"/>
      <w:marLeft w:val="0"/>
      <w:marRight w:val="0"/>
      <w:marTop w:val="0"/>
      <w:marBottom w:val="0"/>
      <w:divBdr>
        <w:top w:val="none" w:sz="0" w:space="0" w:color="auto"/>
        <w:left w:val="none" w:sz="0" w:space="0" w:color="auto"/>
        <w:bottom w:val="none" w:sz="0" w:space="0" w:color="auto"/>
        <w:right w:val="none" w:sz="0" w:space="0" w:color="auto"/>
      </w:divBdr>
    </w:div>
    <w:div w:id="1571504186">
      <w:bodyDiv w:val="1"/>
      <w:marLeft w:val="0"/>
      <w:marRight w:val="0"/>
      <w:marTop w:val="0"/>
      <w:marBottom w:val="0"/>
      <w:divBdr>
        <w:top w:val="none" w:sz="0" w:space="0" w:color="auto"/>
        <w:left w:val="none" w:sz="0" w:space="0" w:color="auto"/>
        <w:bottom w:val="none" w:sz="0" w:space="0" w:color="auto"/>
        <w:right w:val="none" w:sz="0" w:space="0" w:color="auto"/>
      </w:divBdr>
    </w:div>
    <w:div w:id="1709796784">
      <w:bodyDiv w:val="1"/>
      <w:marLeft w:val="0"/>
      <w:marRight w:val="0"/>
      <w:marTop w:val="0"/>
      <w:marBottom w:val="0"/>
      <w:divBdr>
        <w:top w:val="none" w:sz="0" w:space="0" w:color="auto"/>
        <w:left w:val="none" w:sz="0" w:space="0" w:color="auto"/>
        <w:bottom w:val="none" w:sz="0" w:space="0" w:color="auto"/>
        <w:right w:val="none" w:sz="0" w:space="0" w:color="auto"/>
      </w:divBdr>
    </w:div>
    <w:div w:id="177150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enlighttech@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1433</Words>
  <Characters>8173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Guennadi Glinskii</dc:creator>
  <cp:keywords/>
  <dc:description/>
  <cp:lastModifiedBy>Guennadi Glinskii</cp:lastModifiedBy>
  <cp:revision>5</cp:revision>
  <cp:lastPrinted>2023-08-08T08:22:00Z</cp:lastPrinted>
  <dcterms:created xsi:type="dcterms:W3CDTF">2024-10-31T05:26:00Z</dcterms:created>
  <dcterms:modified xsi:type="dcterms:W3CDTF">2024-11-03T03:23:00Z</dcterms:modified>
</cp:coreProperties>
</file>